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10" w:rsidRDefault="00ED2048" w:rsidP="001E5A5B">
      <w:pPr>
        <w:jc w:val="center"/>
        <w:rPr>
          <w:sz w:val="26"/>
        </w:rPr>
      </w:pPr>
      <w:r w:rsidRPr="00ED204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pt;margin-top:2.7pt;width:411pt;height:7.2pt;z-index:251658240" fillcolor="black">
            <v:shadow color="#868686"/>
            <v:textpath style="font-family:&quot;Arial&quot;;font-size:18pt;v-text-kern:t" trim="t" fitpath="t" string="Челябинская областная организация Профсоюза"/>
          </v:shape>
        </w:pict>
      </w:r>
    </w:p>
    <w:p w:rsidR="00F04510" w:rsidRDefault="00ED2048" w:rsidP="001E5A5B">
      <w:pPr>
        <w:rPr>
          <w:sz w:val="26"/>
        </w:rPr>
      </w:pPr>
      <w:r w:rsidRPr="00ED2048">
        <w:rPr>
          <w:noProof/>
        </w:rPr>
        <w:pict>
          <v:shape id="_x0000_s1027" type="#_x0000_t136" style="position:absolute;margin-left:94.6pt;margin-top:1.95pt;width:277.5pt;height:7.2pt;z-index:251659264" o:allowincell="f" fillcolor="black">
            <v:shadow color="#868686"/>
            <v:textpath style="font-family:&quot;Arial&quot;;font-size:18pt;v-text-kern:t" trim="t" fitpath="t" string="работников здравоохранения РФ"/>
          </v:shape>
        </w:pict>
      </w:r>
    </w:p>
    <w:p w:rsidR="00F04510" w:rsidRDefault="00ED2048" w:rsidP="001E5A5B">
      <w:pPr>
        <w:rPr>
          <w:sz w:val="26"/>
        </w:rPr>
      </w:pPr>
      <w:r w:rsidRPr="00ED2048">
        <w:rPr>
          <w:noProof/>
        </w:rPr>
        <w:pict>
          <v:shape id="_x0000_s1028" type="#_x0000_t136" style="position:absolute;margin-left:152.2pt;margin-top:4.85pt;width:163.5pt;height:7.2pt;z-index:251660288" o:allowincell="f" fillcolor="black">
            <v:shadow color="#868686"/>
            <v:textpath style="font-family:&quot;Arial&quot;;font-size:18pt;v-text-kern:t" trim="t" fitpath="t" string="президиум комитета"/>
          </v:shape>
        </w:pict>
      </w:r>
    </w:p>
    <w:p w:rsidR="00F04510" w:rsidRDefault="00ED2048" w:rsidP="001E5A5B">
      <w:pPr>
        <w:rPr>
          <w:sz w:val="26"/>
        </w:rPr>
      </w:pPr>
      <w:r w:rsidRPr="00ED2048">
        <w:rPr>
          <w:noProof/>
        </w:rPr>
        <w:pict>
          <v:shape id="_x0000_s1030" type="#_x0000_t136" style="position:absolute;margin-left:123.4pt;margin-top:10.65pt;width:230.25pt;height:7.2pt;z-index:251662336" o:allowincell="f" fillcolor="black">
            <v:shadow color="#868686"/>
            <v:textpath style="font-family:&quot;Arial&quot;;font-size:18pt;v-text-kern:t" trim="t" fitpath="t" string="П О С Т А Н О В Л Е Н И Е "/>
          </v:shape>
        </w:pict>
      </w:r>
    </w:p>
    <w:p w:rsidR="00F04510" w:rsidRDefault="00F04510" w:rsidP="001E5A5B">
      <w:pPr>
        <w:rPr>
          <w:sz w:val="26"/>
        </w:rPr>
      </w:pPr>
    </w:p>
    <w:p w:rsidR="00F04510" w:rsidRPr="0009364A" w:rsidRDefault="0009364A" w:rsidP="0009364A">
      <w:pPr>
        <w:spacing w:line="360" w:lineRule="auto"/>
        <w:jc w:val="both"/>
        <w:rPr>
          <w:b/>
          <w:sz w:val="28"/>
          <w:szCs w:val="26"/>
        </w:rPr>
      </w:pPr>
      <w:r w:rsidRPr="0009364A">
        <w:rPr>
          <w:b/>
          <w:sz w:val="28"/>
          <w:szCs w:val="26"/>
        </w:rPr>
        <w:t xml:space="preserve"> от 22.09.2016г.                 </w:t>
      </w:r>
      <w:r w:rsidRPr="0009364A">
        <w:rPr>
          <w:b/>
          <w:sz w:val="28"/>
          <w:szCs w:val="26"/>
        </w:rPr>
        <w:tab/>
      </w:r>
      <w:r w:rsidRPr="0009364A">
        <w:rPr>
          <w:b/>
          <w:sz w:val="28"/>
          <w:szCs w:val="26"/>
        </w:rPr>
        <w:tab/>
      </w:r>
      <w:r w:rsidRPr="0009364A">
        <w:rPr>
          <w:b/>
          <w:sz w:val="28"/>
          <w:szCs w:val="26"/>
        </w:rPr>
        <w:tab/>
      </w:r>
      <w:r w:rsidRPr="0009364A">
        <w:rPr>
          <w:b/>
          <w:sz w:val="28"/>
          <w:szCs w:val="26"/>
        </w:rPr>
        <w:tab/>
      </w:r>
      <w:r w:rsidRPr="0009364A">
        <w:rPr>
          <w:b/>
          <w:sz w:val="28"/>
          <w:szCs w:val="26"/>
        </w:rPr>
        <w:tab/>
      </w:r>
      <w:r w:rsidRPr="0009364A">
        <w:rPr>
          <w:b/>
          <w:sz w:val="28"/>
          <w:szCs w:val="26"/>
        </w:rPr>
        <w:tab/>
      </w:r>
      <w:r w:rsidRPr="0009364A">
        <w:rPr>
          <w:b/>
          <w:sz w:val="28"/>
          <w:szCs w:val="26"/>
        </w:rPr>
        <w:tab/>
      </w:r>
      <w:r w:rsidRPr="0009364A">
        <w:rPr>
          <w:b/>
          <w:sz w:val="28"/>
          <w:szCs w:val="26"/>
        </w:rPr>
        <w:tab/>
        <w:t xml:space="preserve">   </w:t>
      </w:r>
      <w:r w:rsidR="00F04510" w:rsidRPr="0009364A">
        <w:rPr>
          <w:b/>
          <w:sz w:val="28"/>
          <w:szCs w:val="26"/>
        </w:rPr>
        <w:t xml:space="preserve">№ </w:t>
      </w:r>
      <w:r w:rsidR="003B2458" w:rsidRPr="0009364A">
        <w:rPr>
          <w:b/>
          <w:sz w:val="28"/>
          <w:szCs w:val="26"/>
        </w:rPr>
        <w:t>9</w:t>
      </w:r>
      <w:r w:rsidR="00F04510" w:rsidRPr="0009364A">
        <w:rPr>
          <w:b/>
          <w:sz w:val="28"/>
          <w:szCs w:val="26"/>
        </w:rPr>
        <w:t xml:space="preserve"> </w:t>
      </w:r>
      <w:r w:rsidRPr="0009364A">
        <w:rPr>
          <w:b/>
          <w:sz w:val="28"/>
          <w:szCs w:val="26"/>
        </w:rPr>
        <w:t xml:space="preserve">– 161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F04510" w:rsidRPr="00A723EA" w:rsidTr="00A723EA">
        <w:trPr>
          <w:trHeight w:val="978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04510" w:rsidRPr="00A723EA" w:rsidRDefault="00F04510" w:rsidP="002B3781">
            <w:pPr>
              <w:pStyle w:val="a3"/>
              <w:rPr>
                <w:b/>
                <w:sz w:val="26"/>
                <w:szCs w:val="26"/>
              </w:rPr>
            </w:pPr>
            <w:r w:rsidRPr="00A723EA">
              <w:rPr>
                <w:b/>
                <w:sz w:val="26"/>
                <w:szCs w:val="26"/>
              </w:rPr>
              <w:t>«</w:t>
            </w:r>
            <w:r w:rsidR="00E764DD" w:rsidRPr="00A723EA">
              <w:rPr>
                <w:b/>
                <w:sz w:val="26"/>
                <w:szCs w:val="26"/>
              </w:rPr>
              <w:t xml:space="preserve">О действиях </w:t>
            </w:r>
            <w:r w:rsidR="004F5CD9" w:rsidRPr="00A723EA">
              <w:rPr>
                <w:b/>
                <w:sz w:val="26"/>
                <w:szCs w:val="26"/>
              </w:rPr>
              <w:t>работодател</w:t>
            </w:r>
            <w:r w:rsidR="002B3781" w:rsidRPr="00A723EA">
              <w:rPr>
                <w:b/>
                <w:sz w:val="26"/>
                <w:szCs w:val="26"/>
              </w:rPr>
              <w:t>я</w:t>
            </w:r>
            <w:r w:rsidR="004F5CD9" w:rsidRPr="00A723EA">
              <w:rPr>
                <w:b/>
                <w:sz w:val="26"/>
                <w:szCs w:val="26"/>
              </w:rPr>
              <w:t xml:space="preserve"> и </w:t>
            </w:r>
            <w:r w:rsidR="00E764DD" w:rsidRPr="00A723EA">
              <w:rPr>
                <w:b/>
                <w:sz w:val="26"/>
                <w:szCs w:val="26"/>
              </w:rPr>
              <w:t>профорганов первичн</w:t>
            </w:r>
            <w:r w:rsidR="002B60BB" w:rsidRPr="00A723EA">
              <w:rPr>
                <w:b/>
                <w:sz w:val="26"/>
                <w:szCs w:val="26"/>
              </w:rPr>
              <w:t>ой</w:t>
            </w:r>
            <w:r w:rsidR="00E764DD" w:rsidRPr="00A723EA">
              <w:rPr>
                <w:b/>
                <w:sz w:val="26"/>
                <w:szCs w:val="26"/>
              </w:rPr>
              <w:t xml:space="preserve"> профсоюзн</w:t>
            </w:r>
            <w:r w:rsidR="002B60BB" w:rsidRPr="00A723EA">
              <w:rPr>
                <w:b/>
                <w:sz w:val="26"/>
                <w:szCs w:val="26"/>
              </w:rPr>
              <w:t>ой</w:t>
            </w:r>
            <w:r w:rsidR="00E764DD" w:rsidRPr="00A723EA">
              <w:rPr>
                <w:b/>
                <w:sz w:val="26"/>
                <w:szCs w:val="26"/>
              </w:rPr>
              <w:t xml:space="preserve"> организаци</w:t>
            </w:r>
            <w:r w:rsidR="002B60BB" w:rsidRPr="00A723EA">
              <w:rPr>
                <w:b/>
                <w:sz w:val="26"/>
                <w:szCs w:val="26"/>
              </w:rPr>
              <w:t>и</w:t>
            </w:r>
            <w:r w:rsidR="00E764DD" w:rsidRPr="00A723EA">
              <w:rPr>
                <w:b/>
                <w:sz w:val="26"/>
                <w:szCs w:val="26"/>
              </w:rPr>
              <w:t xml:space="preserve"> </w:t>
            </w:r>
            <w:r w:rsidR="00B572A7" w:rsidRPr="00A723EA">
              <w:rPr>
                <w:b/>
                <w:sz w:val="26"/>
                <w:szCs w:val="26"/>
              </w:rPr>
              <w:t xml:space="preserve">МБУЗ «Нязепетровская центральная районная больница» </w:t>
            </w:r>
            <w:r w:rsidR="00E764DD" w:rsidRPr="00A723EA">
              <w:rPr>
                <w:b/>
                <w:sz w:val="26"/>
                <w:szCs w:val="26"/>
              </w:rPr>
              <w:t>по обеспечению основных государственных гарантий по оплате труда работников через заключение и реализацию коллективн</w:t>
            </w:r>
            <w:r w:rsidR="002B60BB" w:rsidRPr="00A723EA">
              <w:rPr>
                <w:b/>
                <w:sz w:val="26"/>
                <w:szCs w:val="26"/>
              </w:rPr>
              <w:t>ого</w:t>
            </w:r>
            <w:r w:rsidR="00E764DD" w:rsidRPr="00A723EA">
              <w:rPr>
                <w:b/>
                <w:sz w:val="26"/>
                <w:szCs w:val="26"/>
              </w:rPr>
              <w:t xml:space="preserve"> договор</w:t>
            </w:r>
            <w:r w:rsidR="002B60BB" w:rsidRPr="00A723EA">
              <w:rPr>
                <w:b/>
                <w:sz w:val="26"/>
                <w:szCs w:val="26"/>
              </w:rPr>
              <w:t>а</w:t>
            </w:r>
            <w:r w:rsidRPr="00A723EA"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F04510" w:rsidRPr="002820EA" w:rsidRDefault="00F04510" w:rsidP="001E5A5B">
      <w:pPr>
        <w:spacing w:line="360" w:lineRule="auto"/>
        <w:ind w:firstLine="709"/>
        <w:jc w:val="both"/>
        <w:rPr>
          <w:sz w:val="24"/>
          <w:szCs w:val="24"/>
        </w:rPr>
      </w:pPr>
    </w:p>
    <w:p w:rsidR="002118CA" w:rsidRPr="0009364A" w:rsidRDefault="003B219C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Рассмотрев</w:t>
      </w:r>
      <w:r w:rsidR="002118CA" w:rsidRPr="0009364A">
        <w:rPr>
          <w:sz w:val="24"/>
          <w:szCs w:val="24"/>
        </w:rPr>
        <w:t xml:space="preserve"> вопрос «О действиях работодателя и профорганов первичной профсоюзной организации МБУЗ «Нязепетровская центральная районная больница» по обеспечению основных государственных гарантий по оплате труда работников через заключение и реализацию коллективного договора» </w:t>
      </w:r>
      <w:r w:rsidRPr="0009364A">
        <w:rPr>
          <w:sz w:val="24"/>
          <w:szCs w:val="24"/>
        </w:rPr>
        <w:t>Президиум Комитета отмечает:</w:t>
      </w:r>
    </w:p>
    <w:p w:rsidR="002118CA" w:rsidRPr="0009364A" w:rsidRDefault="003B219C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В</w:t>
      </w:r>
      <w:r w:rsidR="002118CA" w:rsidRPr="0009364A">
        <w:rPr>
          <w:sz w:val="24"/>
          <w:szCs w:val="24"/>
        </w:rPr>
        <w:t xml:space="preserve"> МБУЗ «Нязепетровская центральная районная больница» </w:t>
      </w:r>
      <w:r w:rsidRPr="0009364A">
        <w:rPr>
          <w:sz w:val="24"/>
          <w:szCs w:val="24"/>
        </w:rPr>
        <w:t>403</w:t>
      </w:r>
      <w:r w:rsidR="002118CA" w:rsidRPr="0009364A">
        <w:rPr>
          <w:sz w:val="24"/>
          <w:szCs w:val="24"/>
        </w:rPr>
        <w:t xml:space="preserve"> работающих, из них </w:t>
      </w:r>
      <w:r w:rsidRPr="0009364A">
        <w:rPr>
          <w:sz w:val="24"/>
          <w:szCs w:val="24"/>
        </w:rPr>
        <w:t>215</w:t>
      </w:r>
      <w:r w:rsidR="002118CA" w:rsidRPr="0009364A">
        <w:rPr>
          <w:sz w:val="24"/>
          <w:szCs w:val="24"/>
        </w:rPr>
        <w:t xml:space="preserve"> членов Профсоюза (или </w:t>
      </w:r>
      <w:r w:rsidRPr="0009364A">
        <w:rPr>
          <w:sz w:val="24"/>
          <w:szCs w:val="24"/>
        </w:rPr>
        <w:t>53,3</w:t>
      </w:r>
      <w:r w:rsidR="002118CA" w:rsidRPr="0009364A">
        <w:rPr>
          <w:sz w:val="24"/>
          <w:szCs w:val="24"/>
        </w:rPr>
        <w:t>%).</w:t>
      </w:r>
      <w:r w:rsidRPr="0009364A">
        <w:rPr>
          <w:sz w:val="24"/>
          <w:szCs w:val="24"/>
        </w:rPr>
        <w:t xml:space="preserve"> Укомплектованность врачами составляет </w:t>
      </w:r>
      <w:r w:rsidR="00B91BCC" w:rsidRPr="0009364A">
        <w:rPr>
          <w:sz w:val="24"/>
          <w:szCs w:val="24"/>
        </w:rPr>
        <w:t>–</w:t>
      </w:r>
      <w:r w:rsidRPr="0009364A">
        <w:rPr>
          <w:sz w:val="24"/>
          <w:szCs w:val="24"/>
        </w:rPr>
        <w:t xml:space="preserve"> </w:t>
      </w:r>
      <w:r w:rsidR="00B91BCC" w:rsidRPr="0009364A">
        <w:rPr>
          <w:sz w:val="24"/>
          <w:szCs w:val="24"/>
        </w:rPr>
        <w:t>62,6%, средним медперсоналом – 88,9% , младшим медицинским персоналом – 87,1%, прочим 85,5%.</w:t>
      </w:r>
    </w:p>
    <w:p w:rsidR="002118CA" w:rsidRPr="0009364A" w:rsidRDefault="00B91BCC" w:rsidP="0009364A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09364A">
        <w:rPr>
          <w:sz w:val="24"/>
          <w:szCs w:val="24"/>
        </w:rPr>
        <w:t>За последние три года финансирование больницы уменьшилось в</w:t>
      </w:r>
      <w:r w:rsidR="002118CA" w:rsidRPr="0009364A">
        <w:rPr>
          <w:sz w:val="24"/>
          <w:szCs w:val="24"/>
        </w:rPr>
        <w:t xml:space="preserve"> связи </w:t>
      </w:r>
      <w:r w:rsidRPr="0009364A">
        <w:rPr>
          <w:sz w:val="24"/>
          <w:szCs w:val="24"/>
        </w:rPr>
        <w:t xml:space="preserve">с уменьшением приписного населения и коечного фонда, </w:t>
      </w:r>
      <w:r w:rsidR="002118CA" w:rsidRPr="0009364A">
        <w:rPr>
          <w:sz w:val="24"/>
          <w:szCs w:val="24"/>
        </w:rPr>
        <w:t>с уменьшением количества родов, лечения больных с острым нарушением мозгового кровообращения и инфарктом миокарда (транспортируются в другие учреждения здравоохранения согласно приказа Министерства здравоохранения Челябинской области по маршрутизации), не выполнением плана по диспансеризации (24% за 7 мес. 2016 года).</w:t>
      </w:r>
      <w:proofErr w:type="gramEnd"/>
    </w:p>
    <w:p w:rsidR="002118CA" w:rsidRPr="0009364A" w:rsidRDefault="002118CA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Финансирование МБУЗ «Нязепетровская ЦРБ» (в тыс. руб.) представлено в таблице.</w:t>
      </w:r>
    </w:p>
    <w:tbl>
      <w:tblPr>
        <w:tblStyle w:val="a5"/>
        <w:tblW w:w="10031" w:type="dxa"/>
        <w:jc w:val="center"/>
        <w:tblLook w:val="04A0"/>
      </w:tblPr>
      <w:tblGrid>
        <w:gridCol w:w="1242"/>
        <w:gridCol w:w="1211"/>
        <w:gridCol w:w="1211"/>
        <w:gridCol w:w="1584"/>
        <w:gridCol w:w="1546"/>
        <w:gridCol w:w="1528"/>
        <w:gridCol w:w="1709"/>
      </w:tblGrid>
      <w:tr w:rsidR="00121E03" w:rsidRPr="0009364A" w:rsidTr="0009364A">
        <w:trPr>
          <w:jc w:val="center"/>
        </w:trPr>
        <w:tc>
          <w:tcPr>
            <w:tcW w:w="1242" w:type="dxa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11" w:type="dxa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Средства ОМС</w:t>
            </w:r>
          </w:p>
        </w:tc>
        <w:tc>
          <w:tcPr>
            <w:tcW w:w="1211" w:type="dxa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Средства бюджета</w:t>
            </w:r>
          </w:p>
        </w:tc>
        <w:tc>
          <w:tcPr>
            <w:tcW w:w="1584" w:type="dxa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proofErr w:type="spellStart"/>
            <w:r w:rsidRPr="0009364A">
              <w:rPr>
                <w:sz w:val="24"/>
                <w:szCs w:val="24"/>
              </w:rPr>
              <w:t>Предприним</w:t>
            </w:r>
            <w:proofErr w:type="spellEnd"/>
            <w:r w:rsidRPr="0009364A">
              <w:rPr>
                <w:sz w:val="24"/>
                <w:szCs w:val="24"/>
              </w:rPr>
              <w:t>. деятельность</w:t>
            </w:r>
          </w:p>
        </w:tc>
        <w:tc>
          <w:tcPr>
            <w:tcW w:w="1546" w:type="dxa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proofErr w:type="spellStart"/>
            <w:r w:rsidRPr="0009364A">
              <w:rPr>
                <w:sz w:val="24"/>
                <w:szCs w:val="24"/>
              </w:rPr>
              <w:t>Финансиров</w:t>
            </w:r>
            <w:proofErr w:type="spellEnd"/>
            <w:r w:rsidRPr="0009364A">
              <w:rPr>
                <w:sz w:val="24"/>
                <w:szCs w:val="24"/>
              </w:rPr>
              <w:t>. всего</w:t>
            </w:r>
          </w:p>
        </w:tc>
        <w:tc>
          <w:tcPr>
            <w:tcW w:w="1528" w:type="dxa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 xml:space="preserve">Прикреплен. </w:t>
            </w:r>
          </w:p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население</w:t>
            </w:r>
          </w:p>
        </w:tc>
        <w:tc>
          <w:tcPr>
            <w:tcW w:w="1709" w:type="dxa"/>
          </w:tcPr>
          <w:p w:rsidR="00B91BCC" w:rsidRPr="0009364A" w:rsidRDefault="001610AA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Стоимость лечения</w:t>
            </w:r>
            <w:r w:rsidR="006B6788" w:rsidRPr="0009364A">
              <w:rPr>
                <w:sz w:val="24"/>
                <w:szCs w:val="24"/>
              </w:rPr>
              <w:t xml:space="preserve"> </w:t>
            </w:r>
            <w:r w:rsidR="00A018E9" w:rsidRPr="0009364A">
              <w:rPr>
                <w:sz w:val="24"/>
                <w:szCs w:val="24"/>
              </w:rPr>
              <w:t>на</w:t>
            </w:r>
            <w:r w:rsidRPr="0009364A">
              <w:rPr>
                <w:sz w:val="24"/>
                <w:szCs w:val="24"/>
              </w:rPr>
              <w:t xml:space="preserve"> 1 жителя в мес.</w:t>
            </w:r>
          </w:p>
        </w:tc>
      </w:tr>
      <w:tr w:rsidR="006B6788" w:rsidRPr="0009364A" w:rsidTr="0009364A">
        <w:trPr>
          <w:trHeight w:val="469"/>
          <w:jc w:val="center"/>
        </w:trPr>
        <w:tc>
          <w:tcPr>
            <w:tcW w:w="1242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2014 год</w:t>
            </w:r>
          </w:p>
        </w:tc>
        <w:tc>
          <w:tcPr>
            <w:tcW w:w="1211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136811,8</w:t>
            </w:r>
          </w:p>
        </w:tc>
        <w:tc>
          <w:tcPr>
            <w:tcW w:w="1211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9308,4</w:t>
            </w:r>
          </w:p>
        </w:tc>
        <w:tc>
          <w:tcPr>
            <w:tcW w:w="1584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8226,9</w:t>
            </w:r>
          </w:p>
        </w:tc>
        <w:tc>
          <w:tcPr>
            <w:tcW w:w="1546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154347,0</w:t>
            </w:r>
          </w:p>
        </w:tc>
        <w:tc>
          <w:tcPr>
            <w:tcW w:w="1528" w:type="dxa"/>
            <w:vAlign w:val="center"/>
          </w:tcPr>
          <w:p w:rsidR="00B91BCC" w:rsidRPr="0009364A" w:rsidRDefault="001610AA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17370</w:t>
            </w:r>
          </w:p>
        </w:tc>
        <w:tc>
          <w:tcPr>
            <w:tcW w:w="1709" w:type="dxa"/>
            <w:vAlign w:val="center"/>
          </w:tcPr>
          <w:p w:rsidR="00B91BCC" w:rsidRPr="0009364A" w:rsidRDefault="001610AA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740,5</w:t>
            </w:r>
          </w:p>
        </w:tc>
      </w:tr>
      <w:tr w:rsidR="006B6788" w:rsidRPr="0009364A" w:rsidTr="0009364A">
        <w:trPr>
          <w:trHeight w:val="454"/>
          <w:jc w:val="center"/>
        </w:trPr>
        <w:tc>
          <w:tcPr>
            <w:tcW w:w="1242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2015 год</w:t>
            </w:r>
          </w:p>
        </w:tc>
        <w:tc>
          <w:tcPr>
            <w:tcW w:w="1211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120323,0</w:t>
            </w:r>
          </w:p>
        </w:tc>
        <w:tc>
          <w:tcPr>
            <w:tcW w:w="1211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10506,6</w:t>
            </w:r>
          </w:p>
        </w:tc>
        <w:tc>
          <w:tcPr>
            <w:tcW w:w="1584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10481,2</w:t>
            </w:r>
          </w:p>
        </w:tc>
        <w:tc>
          <w:tcPr>
            <w:tcW w:w="1546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141310,8</w:t>
            </w:r>
          </w:p>
        </w:tc>
        <w:tc>
          <w:tcPr>
            <w:tcW w:w="1528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</w:p>
        </w:tc>
      </w:tr>
      <w:tr w:rsidR="006B6788" w:rsidRPr="0009364A" w:rsidTr="0009364A">
        <w:trPr>
          <w:jc w:val="center"/>
        </w:trPr>
        <w:tc>
          <w:tcPr>
            <w:tcW w:w="1242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 xml:space="preserve">1 </w:t>
            </w:r>
            <w:proofErr w:type="spellStart"/>
            <w:r w:rsidRPr="0009364A">
              <w:rPr>
                <w:sz w:val="24"/>
                <w:szCs w:val="24"/>
              </w:rPr>
              <w:t>полуг</w:t>
            </w:r>
            <w:proofErr w:type="spellEnd"/>
            <w:r w:rsidR="001610AA" w:rsidRPr="0009364A">
              <w:rPr>
                <w:sz w:val="24"/>
                <w:szCs w:val="24"/>
              </w:rPr>
              <w:t>.</w:t>
            </w:r>
            <w:r w:rsidRPr="0009364A"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1211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48152,3</w:t>
            </w:r>
          </w:p>
        </w:tc>
        <w:tc>
          <w:tcPr>
            <w:tcW w:w="1211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4993,5</w:t>
            </w:r>
          </w:p>
        </w:tc>
        <w:tc>
          <w:tcPr>
            <w:tcW w:w="1584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4324,1</w:t>
            </w:r>
          </w:p>
        </w:tc>
        <w:tc>
          <w:tcPr>
            <w:tcW w:w="1546" w:type="dxa"/>
            <w:vAlign w:val="center"/>
          </w:tcPr>
          <w:p w:rsidR="00B91BCC" w:rsidRPr="0009364A" w:rsidRDefault="00B91BCC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57469,9</w:t>
            </w:r>
          </w:p>
        </w:tc>
        <w:tc>
          <w:tcPr>
            <w:tcW w:w="1528" w:type="dxa"/>
            <w:vAlign w:val="center"/>
          </w:tcPr>
          <w:p w:rsidR="00B91BCC" w:rsidRPr="0009364A" w:rsidRDefault="001610AA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16956</w:t>
            </w:r>
          </w:p>
        </w:tc>
        <w:tc>
          <w:tcPr>
            <w:tcW w:w="1709" w:type="dxa"/>
            <w:vAlign w:val="center"/>
          </w:tcPr>
          <w:p w:rsidR="00B91BCC" w:rsidRPr="0009364A" w:rsidRDefault="001610AA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564,9</w:t>
            </w:r>
          </w:p>
        </w:tc>
      </w:tr>
    </w:tbl>
    <w:p w:rsidR="002118CA" w:rsidRPr="0009364A" w:rsidRDefault="002118CA" w:rsidP="0009364A">
      <w:pPr>
        <w:spacing w:line="360" w:lineRule="auto"/>
        <w:ind w:firstLine="567"/>
        <w:jc w:val="both"/>
        <w:rPr>
          <w:sz w:val="24"/>
          <w:szCs w:val="24"/>
        </w:rPr>
      </w:pPr>
    </w:p>
    <w:p w:rsidR="002118CA" w:rsidRPr="0009364A" w:rsidRDefault="002118CA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Кредиторская задолженность на 1 августа 2016 года составляет: за товары и услуги – 6687,4 тыс. рублей, по налогам за землю и имущество – 416,3 тыс. рублей, по страховым взносам в пенсионный фонд - 1026,7 тыс. рублей, перед работниками за повышение квалификации (оплата обучения, командировочные расходы) – 233,1 тыс. рублей. </w:t>
      </w:r>
      <w:proofErr w:type="gramStart"/>
      <w:r w:rsidRPr="0009364A">
        <w:rPr>
          <w:sz w:val="24"/>
          <w:szCs w:val="24"/>
        </w:rPr>
        <w:t xml:space="preserve">Медицинские работники проходят профессиональную подготовку, переподготовку и повышение квалификации за счет </w:t>
      </w:r>
      <w:r w:rsidR="00090B20" w:rsidRPr="0009364A">
        <w:rPr>
          <w:sz w:val="24"/>
          <w:szCs w:val="24"/>
        </w:rPr>
        <w:t>собственных</w:t>
      </w:r>
      <w:r w:rsidRPr="0009364A">
        <w:rPr>
          <w:sz w:val="24"/>
          <w:szCs w:val="24"/>
        </w:rPr>
        <w:t xml:space="preserve"> средств, их расходы компенсируют только в конце года, что </w:t>
      </w:r>
      <w:r w:rsidRPr="0009364A">
        <w:rPr>
          <w:sz w:val="24"/>
          <w:szCs w:val="24"/>
        </w:rPr>
        <w:lastRenderedPageBreak/>
        <w:t>является нарушением требований статьи 72 Федерального закона от 21.11.2011г. № 323-ФЗ «Об основах охраны здоровья граждан в Российской Федерации» и статьи 196 ТК РФ, в соответствии с которыми профессиональная подготовка, переподготовка и повышение квалификации осуществляется за счет средств работодателя</w:t>
      </w:r>
      <w:proofErr w:type="gramEnd"/>
      <w:r w:rsidRPr="0009364A">
        <w:rPr>
          <w:sz w:val="24"/>
          <w:szCs w:val="24"/>
        </w:rPr>
        <w:t>.</w:t>
      </w:r>
    </w:p>
    <w:p w:rsidR="002118CA" w:rsidRPr="0009364A" w:rsidRDefault="002118CA" w:rsidP="0009364A">
      <w:pPr>
        <w:spacing w:after="120" w:line="360" w:lineRule="auto"/>
        <w:ind w:firstLine="567"/>
        <w:jc w:val="both"/>
        <w:rPr>
          <w:sz w:val="24"/>
          <w:szCs w:val="24"/>
        </w:rPr>
      </w:pPr>
      <w:proofErr w:type="gramStart"/>
      <w:r w:rsidRPr="0009364A">
        <w:rPr>
          <w:sz w:val="24"/>
          <w:szCs w:val="24"/>
        </w:rPr>
        <w:t xml:space="preserve">В МБУЗ «Нязепетровская центральная районная больница» за 7 месяцев 2016 года по всем категориям работников средняя заработная плата ниже индикативных показателей, утвержденных распоряжением Правительства Челябинской области от 29.04.2013 №107 </w:t>
      </w:r>
      <w:proofErr w:type="spellStart"/>
      <w:r w:rsidRPr="0009364A">
        <w:rPr>
          <w:sz w:val="24"/>
          <w:szCs w:val="24"/>
        </w:rPr>
        <w:t>рп</w:t>
      </w:r>
      <w:proofErr w:type="spellEnd"/>
      <w:r w:rsidRPr="0009364A">
        <w:rPr>
          <w:sz w:val="24"/>
          <w:szCs w:val="24"/>
        </w:rPr>
        <w:t xml:space="preserve"> на 2016 год, а по среднему и младшему медицинскому персоналу средняя зарплата ниже индикативных показателей 2015 года, что является нарушением, кроме того средняя заработная плата по младшему медперсоналу снизилась на</w:t>
      </w:r>
      <w:proofErr w:type="gramEnd"/>
      <w:r w:rsidRPr="0009364A">
        <w:rPr>
          <w:sz w:val="24"/>
          <w:szCs w:val="24"/>
        </w:rPr>
        <w:t xml:space="preserve"> 10% (данные представлены в таблице).</w:t>
      </w:r>
    </w:p>
    <w:tbl>
      <w:tblPr>
        <w:tblW w:w="9922" w:type="dxa"/>
        <w:jc w:val="center"/>
        <w:tblInd w:w="93" w:type="dxa"/>
        <w:tblLook w:val="00A0"/>
      </w:tblPr>
      <w:tblGrid>
        <w:gridCol w:w="4410"/>
        <w:gridCol w:w="1134"/>
        <w:gridCol w:w="1596"/>
        <w:gridCol w:w="1596"/>
        <w:gridCol w:w="1186"/>
      </w:tblGrid>
      <w:tr w:rsidR="002118CA" w:rsidRPr="0009364A" w:rsidTr="0009364A">
        <w:trPr>
          <w:trHeight w:val="75"/>
          <w:jc w:val="center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0F0F0"/>
            <w:vAlign w:val="center"/>
          </w:tcPr>
          <w:p w:rsidR="002118CA" w:rsidRPr="0009364A" w:rsidRDefault="002118CA" w:rsidP="000936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Врачи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Младший медперсонал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center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Прочий</w:t>
            </w:r>
          </w:p>
        </w:tc>
      </w:tr>
      <w:tr w:rsidR="002118CA" w:rsidRPr="0009364A" w:rsidTr="0009364A">
        <w:trPr>
          <w:trHeight w:val="75"/>
          <w:jc w:val="center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0F0F0"/>
            <w:vAlign w:val="center"/>
          </w:tcPr>
          <w:p w:rsidR="002118CA" w:rsidRPr="0009364A" w:rsidRDefault="002118CA" w:rsidP="0009364A">
            <w:pPr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Факт 2014 год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41509,94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21576,25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14251,39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12575,07</w:t>
            </w:r>
          </w:p>
        </w:tc>
      </w:tr>
      <w:tr w:rsidR="002118CA" w:rsidRPr="0009364A" w:rsidTr="0009364A">
        <w:trPr>
          <w:trHeight w:val="75"/>
          <w:jc w:val="center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0F0F0"/>
            <w:vAlign w:val="center"/>
          </w:tcPr>
          <w:p w:rsidR="002118CA" w:rsidRPr="0009364A" w:rsidRDefault="002118CA" w:rsidP="0009364A">
            <w:pPr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Факт 2015 год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37844,14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18797,35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11737,76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12333,77</w:t>
            </w:r>
          </w:p>
        </w:tc>
      </w:tr>
      <w:tr w:rsidR="002118CA" w:rsidRPr="0009364A" w:rsidTr="0009364A">
        <w:trPr>
          <w:trHeight w:val="75"/>
          <w:jc w:val="center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0F0F0"/>
            <w:vAlign w:val="center"/>
          </w:tcPr>
          <w:p w:rsidR="002118CA" w:rsidRPr="0009364A" w:rsidRDefault="002118CA" w:rsidP="0009364A">
            <w:pPr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Индикативные показатели 2015 года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42278,6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22482,4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13985,8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</w:p>
        </w:tc>
      </w:tr>
      <w:tr w:rsidR="002118CA" w:rsidRPr="0009364A" w:rsidTr="0009364A">
        <w:trPr>
          <w:trHeight w:val="75"/>
          <w:jc w:val="center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0F0F0"/>
            <w:vAlign w:val="center"/>
          </w:tcPr>
          <w:p w:rsidR="002118CA" w:rsidRPr="0009364A" w:rsidRDefault="002118CA" w:rsidP="0009364A">
            <w:pPr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 xml:space="preserve">Факт 7 мес.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9364A">
                <w:rPr>
                  <w:sz w:val="24"/>
                  <w:szCs w:val="24"/>
                </w:rPr>
                <w:t>2016 г</w:t>
              </w:r>
            </w:smartTag>
            <w:r w:rsidRPr="0009364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43399,45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18644,52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10563,27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13086,49</w:t>
            </w:r>
          </w:p>
        </w:tc>
      </w:tr>
      <w:tr w:rsidR="002118CA" w:rsidRPr="0009364A" w:rsidTr="0009364A">
        <w:trPr>
          <w:trHeight w:val="75"/>
          <w:jc w:val="center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0F0F0"/>
            <w:vAlign w:val="center"/>
          </w:tcPr>
          <w:p w:rsidR="002118CA" w:rsidRPr="0009364A" w:rsidRDefault="002118CA" w:rsidP="0009364A">
            <w:pPr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Индикативные показатели 7 мес. 2016 г.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45076,3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24374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  <w:r w:rsidRPr="0009364A">
              <w:rPr>
                <w:sz w:val="24"/>
                <w:szCs w:val="24"/>
              </w:rPr>
              <w:t>19911,5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2118CA" w:rsidRPr="0009364A" w:rsidRDefault="002118CA" w:rsidP="0009364A">
            <w:pPr>
              <w:jc w:val="right"/>
              <w:rPr>
                <w:sz w:val="24"/>
                <w:szCs w:val="24"/>
              </w:rPr>
            </w:pPr>
          </w:p>
        </w:tc>
      </w:tr>
    </w:tbl>
    <w:p w:rsidR="0009364A" w:rsidRDefault="0009364A" w:rsidP="0009364A">
      <w:pPr>
        <w:spacing w:line="360" w:lineRule="auto"/>
        <w:ind w:firstLine="567"/>
        <w:jc w:val="both"/>
        <w:rPr>
          <w:sz w:val="24"/>
          <w:szCs w:val="24"/>
        </w:rPr>
      </w:pPr>
    </w:p>
    <w:p w:rsidR="002118CA" w:rsidRDefault="002118CA" w:rsidP="0009364A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09364A">
        <w:rPr>
          <w:sz w:val="24"/>
          <w:szCs w:val="24"/>
        </w:rPr>
        <w:t>В учреждении принято Положение об оплате труда работников, которое приведено в соответствие с Постановлением Правительства Челябинской области от 29.11.10г. №280-П с изменениями (Постановления Правительства Челябинской области от 21.10.2015г. №552-П, от 26.01.2016г. №6-П), что позволило в 2016 году по сравнению с 2015 годом увеличить окладную часть заработной платы у врачей с 25,8% до 33,9%;</w:t>
      </w:r>
      <w:proofErr w:type="gramEnd"/>
      <w:r w:rsidRPr="0009364A">
        <w:rPr>
          <w:sz w:val="24"/>
          <w:szCs w:val="24"/>
        </w:rPr>
        <w:t xml:space="preserve"> у среднего медицинского персонала с 19,5% до 26,6%; у младшего медперсонала с 19,2% до 29,2%.</w:t>
      </w:r>
    </w:p>
    <w:p w:rsidR="002118CA" w:rsidRPr="0009364A" w:rsidRDefault="0009364A" w:rsidP="0009364A">
      <w:pPr>
        <w:spacing w:line="360" w:lineRule="auto"/>
        <w:jc w:val="center"/>
        <w:rPr>
          <w:sz w:val="24"/>
          <w:szCs w:val="24"/>
        </w:rPr>
      </w:pPr>
      <w:r w:rsidRPr="0009364A">
        <w:rPr>
          <w:sz w:val="24"/>
          <w:szCs w:val="24"/>
        </w:rPr>
        <w:object w:dxaOrig="7208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15pt;height:296.6pt" o:ole="">
            <v:imagedata r:id="rId6" o:title=""/>
          </v:shape>
          <o:OLEObject Type="Embed" ProgID="PowerPoint.Slide.12" ShapeID="_x0000_i1025" DrawAspect="Content" ObjectID="_1536042398" r:id="rId7"/>
        </w:object>
      </w:r>
    </w:p>
    <w:p w:rsidR="002118CA" w:rsidRPr="0009364A" w:rsidRDefault="002118CA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lastRenderedPageBreak/>
        <w:tab/>
        <w:t>В учреждении отсутствует Коллективный договор, нарушаются сроки его заключения (ст.40 ТК РФ); Правила внутреннего трудового распорядка (ст.100 ТК РФ).</w:t>
      </w:r>
    </w:p>
    <w:p w:rsidR="002118CA" w:rsidRPr="0009364A" w:rsidRDefault="002118CA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В Положении о порядке денежных выплат стимулирующего характера предусмотрено, что стимулирующие выплаты устанавливаются работникам при наличии сертификата специалиста соответствующей специальности (или свидетельства об аккредитации специалиста). Однако</w:t>
      </w:r>
      <w:proofErr w:type="gramStart"/>
      <w:r w:rsidRPr="0009364A">
        <w:rPr>
          <w:sz w:val="24"/>
          <w:szCs w:val="24"/>
        </w:rPr>
        <w:t>,</w:t>
      </w:r>
      <w:proofErr w:type="gramEnd"/>
      <w:r w:rsidRPr="0009364A">
        <w:rPr>
          <w:sz w:val="24"/>
          <w:szCs w:val="24"/>
        </w:rPr>
        <w:t xml:space="preserve"> при не соблюдении данного условия работник не имеет право осуществлять медицинскую деятельность.</w:t>
      </w:r>
    </w:p>
    <w:p w:rsidR="002118CA" w:rsidRPr="0009364A" w:rsidRDefault="002118CA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Согласно Положению о порядке  оплаты  труда  работников МБУЗ «Нязепетровская ЦРБ» при оказании платных медицинских услуг населению</w:t>
      </w:r>
      <w:r w:rsidRPr="0009364A">
        <w:rPr>
          <w:b/>
          <w:sz w:val="24"/>
          <w:szCs w:val="24"/>
        </w:rPr>
        <w:t xml:space="preserve"> </w:t>
      </w:r>
      <w:r w:rsidRPr="0009364A">
        <w:rPr>
          <w:sz w:val="24"/>
          <w:szCs w:val="24"/>
        </w:rPr>
        <w:t xml:space="preserve">«Суммы выплат по дополнительной заработной плате, полученные работниками за организацию и оказание платных медицинских услуг, не включаются в средний заработок при начислении отпускных», что является нарушением действующего законодательства. В локальных нормативных актах, в трудовых договорах не указаны даты выплаты заработной платы (ст. 136 ТК РФ). Работники не уведомляются письменно не </w:t>
      </w:r>
      <w:proofErr w:type="gramStart"/>
      <w:r w:rsidRPr="0009364A">
        <w:rPr>
          <w:sz w:val="24"/>
          <w:szCs w:val="24"/>
        </w:rPr>
        <w:t>позднее</w:t>
      </w:r>
      <w:proofErr w:type="gramEnd"/>
      <w:r w:rsidRPr="0009364A">
        <w:rPr>
          <w:sz w:val="24"/>
          <w:szCs w:val="24"/>
        </w:rPr>
        <w:t xml:space="preserve"> чем за два месяца об изменении условий оплаты труда (ст. 74 ТК РФ). </w:t>
      </w:r>
    </w:p>
    <w:p w:rsidR="002118CA" w:rsidRPr="0009364A" w:rsidRDefault="002118CA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В трудовых договорах не указываются характеристики условий труда на рабочем месте; основания для предоставления ежегодных дополнительных оплачиваемых отпусков (ст. 57 ТК РФ); с нарушениями проводится увольнение работников – работник уволен за несоответствие занимаемой должности, хотя его аттестация не проводилась (ст.81 ТК РФ). </w:t>
      </w:r>
    </w:p>
    <w:p w:rsidR="002118CA" w:rsidRPr="0009364A" w:rsidRDefault="002118CA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Не все графики сменности доводятся до сведения работников не </w:t>
      </w:r>
      <w:proofErr w:type="gramStart"/>
      <w:r w:rsidRPr="0009364A">
        <w:rPr>
          <w:sz w:val="24"/>
          <w:szCs w:val="24"/>
        </w:rPr>
        <w:t>позднее</w:t>
      </w:r>
      <w:proofErr w:type="gramEnd"/>
      <w:r w:rsidRPr="0009364A">
        <w:rPr>
          <w:sz w:val="24"/>
          <w:szCs w:val="24"/>
        </w:rPr>
        <w:t xml:space="preserve"> чем за один месяц до введения их в действие (ст.103 ТК РФ). В графиках не указывается начало и окончание работы, не выделяется работа по совместительству. В табелях учета рабочего времени не указывается работа по дням. В учреждении допускается сверхурочная работа, которая не оплачивается в соответствии со ст. 152 ТК РФ (месячная норма рабочего времени по основной должности отрабатывается до 18-20 числа, а до конца месяца – по совместительству).</w:t>
      </w:r>
    </w:p>
    <w:p w:rsidR="006C3FED" w:rsidRPr="0009364A" w:rsidRDefault="006C3FED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Так же в ходе проверки установлено: </w:t>
      </w:r>
    </w:p>
    <w:p w:rsidR="001610AA" w:rsidRPr="0009364A" w:rsidRDefault="001610AA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В больнице отсутствует пожарная сигнализация; на пищеблоке 100% износ оборудования (кроме электроплит), которое подлежит замене; требуется капитальный ремонт хирургического отделения, лаборатории, </w:t>
      </w:r>
      <w:proofErr w:type="spellStart"/>
      <w:r w:rsidRPr="0009364A">
        <w:rPr>
          <w:sz w:val="24"/>
          <w:szCs w:val="24"/>
        </w:rPr>
        <w:t>ФАПов</w:t>
      </w:r>
      <w:proofErr w:type="spellEnd"/>
      <w:r w:rsidRPr="0009364A">
        <w:rPr>
          <w:sz w:val="24"/>
          <w:szCs w:val="24"/>
        </w:rPr>
        <w:t>, пищеблока; не закончен ремонт поликлинического отделения, начатый в 2009 году.</w:t>
      </w:r>
    </w:p>
    <w:p w:rsidR="001610AA" w:rsidRPr="0009364A" w:rsidRDefault="002360CC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М</w:t>
      </w:r>
      <w:r w:rsidR="001610AA" w:rsidRPr="0009364A">
        <w:rPr>
          <w:sz w:val="24"/>
          <w:szCs w:val="24"/>
        </w:rPr>
        <w:t xml:space="preserve">едицинским </w:t>
      </w:r>
      <w:r w:rsidR="006C3FED" w:rsidRPr="0009364A">
        <w:rPr>
          <w:sz w:val="24"/>
          <w:szCs w:val="24"/>
        </w:rPr>
        <w:t xml:space="preserve">и иным </w:t>
      </w:r>
      <w:r w:rsidR="001610AA" w:rsidRPr="0009364A">
        <w:rPr>
          <w:sz w:val="24"/>
          <w:szCs w:val="24"/>
        </w:rPr>
        <w:t>работникам, занятым на работах с вредными и (или) опасными условиями труда</w:t>
      </w:r>
      <w:r w:rsidR="00CF3596" w:rsidRPr="0009364A">
        <w:rPr>
          <w:sz w:val="24"/>
          <w:szCs w:val="24"/>
        </w:rPr>
        <w:t>,</w:t>
      </w:r>
      <w:r w:rsidR="001610AA" w:rsidRPr="0009364A">
        <w:rPr>
          <w:sz w:val="24"/>
          <w:szCs w:val="24"/>
        </w:rPr>
        <w:t xml:space="preserve"> </w:t>
      </w:r>
      <w:r w:rsidRPr="0009364A">
        <w:rPr>
          <w:sz w:val="24"/>
          <w:szCs w:val="24"/>
        </w:rPr>
        <w:t xml:space="preserve">ранее которым не устанавливалась компенсационная выплата, по результатам аттестации рабочих мест </w:t>
      </w:r>
      <w:r w:rsidR="006C3FED" w:rsidRPr="0009364A">
        <w:rPr>
          <w:sz w:val="24"/>
          <w:szCs w:val="24"/>
        </w:rPr>
        <w:t xml:space="preserve">должна быть </w:t>
      </w:r>
      <w:r w:rsidR="001610AA" w:rsidRPr="0009364A">
        <w:rPr>
          <w:sz w:val="24"/>
          <w:szCs w:val="24"/>
        </w:rPr>
        <w:t xml:space="preserve">установлена оплата труда в повышенном размере - не менее 4% </w:t>
      </w:r>
      <w:r w:rsidRPr="0009364A">
        <w:rPr>
          <w:sz w:val="24"/>
          <w:szCs w:val="24"/>
        </w:rPr>
        <w:t xml:space="preserve">должностного оклада </w:t>
      </w:r>
      <w:r w:rsidR="001610AA" w:rsidRPr="0009364A">
        <w:rPr>
          <w:sz w:val="24"/>
          <w:szCs w:val="24"/>
        </w:rPr>
        <w:t>(ст.147 ТК РФ)</w:t>
      </w:r>
      <w:r w:rsidR="006C3FED" w:rsidRPr="0009364A">
        <w:rPr>
          <w:sz w:val="24"/>
          <w:szCs w:val="24"/>
        </w:rPr>
        <w:t>, однако в учреждении это не выполнено</w:t>
      </w:r>
      <w:r w:rsidR="001610AA" w:rsidRPr="0009364A">
        <w:rPr>
          <w:sz w:val="24"/>
          <w:szCs w:val="24"/>
        </w:rPr>
        <w:t>.</w:t>
      </w:r>
    </w:p>
    <w:p w:rsidR="00272E1B" w:rsidRPr="0009364A" w:rsidRDefault="00ED2DEE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lastRenderedPageBreak/>
        <w:t>Кислородные баллоны хранятся с грубым нарушением «Правил устройства безопасной эксплуатации сосудов, работающих под давлением»</w:t>
      </w:r>
      <w:r w:rsidR="00F36B57" w:rsidRPr="0009364A">
        <w:rPr>
          <w:sz w:val="24"/>
          <w:szCs w:val="24"/>
        </w:rPr>
        <w:t>;</w:t>
      </w:r>
      <w:r w:rsidRPr="0009364A">
        <w:rPr>
          <w:sz w:val="24"/>
          <w:szCs w:val="24"/>
        </w:rPr>
        <w:t xml:space="preserve"> Приказом по учреждению не назначено ответственное лицо за безопасную эксплуатацию сосудов работающих под давлением. </w:t>
      </w:r>
    </w:p>
    <w:p w:rsidR="00272E1B" w:rsidRPr="0009364A" w:rsidRDefault="00272E1B" w:rsidP="0009364A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09364A">
        <w:rPr>
          <w:sz w:val="24"/>
          <w:szCs w:val="24"/>
        </w:rPr>
        <w:t>Отсутствует положение по стажировке на рабочем месте, работники не проходят стажировку на рабочем месте, но д</w:t>
      </w:r>
      <w:r w:rsidR="00ED2DEE" w:rsidRPr="0009364A">
        <w:rPr>
          <w:sz w:val="24"/>
          <w:szCs w:val="24"/>
        </w:rPr>
        <w:t xml:space="preserve">опускаются к работе </w:t>
      </w:r>
      <w:r w:rsidRPr="0009364A">
        <w:rPr>
          <w:sz w:val="24"/>
          <w:szCs w:val="24"/>
        </w:rPr>
        <w:t>(ст.212 ТК РФ); ж</w:t>
      </w:r>
      <w:r w:rsidR="002118CA" w:rsidRPr="0009364A">
        <w:rPr>
          <w:sz w:val="24"/>
          <w:szCs w:val="24"/>
        </w:rPr>
        <w:t xml:space="preserve">урнал первичного инструктажа на рабочем месте ведется с нарушением сроков; </w:t>
      </w:r>
      <w:r w:rsidRPr="0009364A">
        <w:rPr>
          <w:sz w:val="24"/>
          <w:szCs w:val="24"/>
        </w:rPr>
        <w:t>не разработан Перечень инструкций по охране труда</w:t>
      </w:r>
      <w:r w:rsidR="003D0B49" w:rsidRPr="0009364A">
        <w:rPr>
          <w:sz w:val="24"/>
          <w:szCs w:val="24"/>
        </w:rPr>
        <w:t xml:space="preserve">, перечень выдачи СИЗ; </w:t>
      </w:r>
      <w:proofErr w:type="spellStart"/>
      <w:r w:rsidR="003D0B49" w:rsidRPr="0009364A">
        <w:rPr>
          <w:sz w:val="24"/>
          <w:szCs w:val="24"/>
        </w:rPr>
        <w:t>автоклавер</w:t>
      </w:r>
      <w:proofErr w:type="spellEnd"/>
      <w:r w:rsidR="003D0B49" w:rsidRPr="0009364A">
        <w:rPr>
          <w:sz w:val="24"/>
          <w:szCs w:val="24"/>
        </w:rPr>
        <w:t xml:space="preserve"> на паровых стерилизаторах допускается к работе без СИЗ;</w:t>
      </w:r>
      <w:proofErr w:type="gramEnd"/>
      <w:r w:rsidR="003D0B49" w:rsidRPr="0009364A">
        <w:rPr>
          <w:sz w:val="24"/>
          <w:szCs w:val="24"/>
        </w:rPr>
        <w:t xml:space="preserve"> отсутствуют надписи в электрощитах, не нанесены предупреждающие плакаты (знаки) в электрощитах возле рубильников; на паровых стерилизаторах не установлены таблички с необходимой информацией по их эксплуатации; у некоторого оборудования отсутствует заземление; </w:t>
      </w:r>
      <w:r w:rsidRPr="0009364A">
        <w:rPr>
          <w:sz w:val="24"/>
          <w:szCs w:val="24"/>
        </w:rPr>
        <w:t>отсутствуют</w:t>
      </w:r>
      <w:r w:rsidR="002118CA" w:rsidRPr="0009364A">
        <w:rPr>
          <w:sz w:val="24"/>
          <w:szCs w:val="24"/>
        </w:rPr>
        <w:t xml:space="preserve"> диэлектрически</w:t>
      </w:r>
      <w:r w:rsidRPr="0009364A">
        <w:rPr>
          <w:sz w:val="24"/>
          <w:szCs w:val="24"/>
        </w:rPr>
        <w:t>е</w:t>
      </w:r>
      <w:r w:rsidR="002118CA" w:rsidRPr="0009364A">
        <w:rPr>
          <w:sz w:val="24"/>
          <w:szCs w:val="24"/>
        </w:rPr>
        <w:t xml:space="preserve"> перчат</w:t>
      </w:r>
      <w:r w:rsidRPr="0009364A">
        <w:rPr>
          <w:sz w:val="24"/>
          <w:szCs w:val="24"/>
        </w:rPr>
        <w:t>ки</w:t>
      </w:r>
      <w:r w:rsidR="002118CA" w:rsidRPr="0009364A">
        <w:rPr>
          <w:sz w:val="24"/>
          <w:szCs w:val="24"/>
        </w:rPr>
        <w:t xml:space="preserve">, </w:t>
      </w:r>
      <w:proofErr w:type="gramStart"/>
      <w:r w:rsidR="002118CA" w:rsidRPr="0009364A">
        <w:rPr>
          <w:sz w:val="24"/>
          <w:szCs w:val="24"/>
        </w:rPr>
        <w:t>коврик</w:t>
      </w:r>
      <w:r w:rsidRPr="0009364A">
        <w:rPr>
          <w:sz w:val="24"/>
          <w:szCs w:val="24"/>
        </w:rPr>
        <w:t>и</w:t>
      </w:r>
      <w:proofErr w:type="gramEnd"/>
      <w:r w:rsidR="002118CA" w:rsidRPr="0009364A">
        <w:rPr>
          <w:sz w:val="24"/>
          <w:szCs w:val="24"/>
        </w:rPr>
        <w:t xml:space="preserve"> </w:t>
      </w:r>
      <w:r w:rsidRPr="0009364A">
        <w:rPr>
          <w:sz w:val="24"/>
          <w:szCs w:val="24"/>
        </w:rPr>
        <w:t>где это необходимо</w:t>
      </w:r>
      <w:r w:rsidR="003D0B49" w:rsidRPr="0009364A">
        <w:rPr>
          <w:sz w:val="24"/>
          <w:szCs w:val="24"/>
        </w:rPr>
        <w:t>.</w:t>
      </w:r>
    </w:p>
    <w:p w:rsidR="00F04510" w:rsidRPr="0009364A" w:rsidRDefault="006C3FED" w:rsidP="0009364A">
      <w:pPr>
        <w:spacing w:line="360" w:lineRule="auto"/>
        <w:ind w:firstLine="567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Учитывая вышеизложенное</w:t>
      </w:r>
      <w:r w:rsidR="00F04510" w:rsidRPr="0009364A">
        <w:rPr>
          <w:sz w:val="24"/>
          <w:szCs w:val="24"/>
        </w:rPr>
        <w:t xml:space="preserve">, </w:t>
      </w:r>
      <w:r w:rsidR="00F04510" w:rsidRPr="0009364A">
        <w:rPr>
          <w:b/>
          <w:sz w:val="24"/>
          <w:szCs w:val="24"/>
        </w:rPr>
        <w:t xml:space="preserve">Президиум </w:t>
      </w:r>
      <w:proofErr w:type="gramStart"/>
      <w:r w:rsidR="0009364A" w:rsidRPr="0009364A">
        <w:rPr>
          <w:b/>
          <w:sz w:val="24"/>
          <w:szCs w:val="24"/>
        </w:rPr>
        <w:t>К</w:t>
      </w:r>
      <w:r w:rsidR="00F04510" w:rsidRPr="0009364A">
        <w:rPr>
          <w:b/>
          <w:sz w:val="24"/>
          <w:szCs w:val="24"/>
        </w:rPr>
        <w:t>омитета Челябинской областной организации Профсоюза работников здравоохранения Российской Федерации</w:t>
      </w:r>
      <w:proofErr w:type="gramEnd"/>
      <w:r w:rsidR="00F04510" w:rsidRPr="0009364A">
        <w:rPr>
          <w:sz w:val="24"/>
          <w:szCs w:val="24"/>
        </w:rPr>
        <w:t xml:space="preserve"> </w:t>
      </w:r>
    </w:p>
    <w:p w:rsidR="00F04510" w:rsidRPr="0009364A" w:rsidRDefault="00F04510" w:rsidP="0009364A">
      <w:pPr>
        <w:tabs>
          <w:tab w:val="left" w:pos="0"/>
        </w:tabs>
        <w:spacing w:before="120" w:after="120" w:line="360" w:lineRule="auto"/>
        <w:jc w:val="center"/>
        <w:rPr>
          <w:b/>
          <w:sz w:val="24"/>
          <w:szCs w:val="24"/>
        </w:rPr>
      </w:pPr>
      <w:proofErr w:type="gramStart"/>
      <w:r w:rsidRPr="0009364A">
        <w:rPr>
          <w:b/>
          <w:sz w:val="24"/>
          <w:szCs w:val="24"/>
        </w:rPr>
        <w:t>П</w:t>
      </w:r>
      <w:proofErr w:type="gramEnd"/>
      <w:r w:rsidRPr="0009364A">
        <w:rPr>
          <w:b/>
          <w:sz w:val="24"/>
          <w:szCs w:val="24"/>
        </w:rPr>
        <w:t xml:space="preserve"> О С Т А Н О В Л Я Е Т :</w:t>
      </w:r>
    </w:p>
    <w:p w:rsidR="00F04510" w:rsidRPr="0009364A" w:rsidRDefault="00F04510" w:rsidP="0009364A">
      <w:pPr>
        <w:numPr>
          <w:ilvl w:val="0"/>
          <w:numId w:val="1"/>
        </w:numPr>
        <w:tabs>
          <w:tab w:val="clear" w:pos="644"/>
          <w:tab w:val="left" w:pos="0"/>
          <w:tab w:val="num" w:pos="284"/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Главн</w:t>
      </w:r>
      <w:r w:rsidR="00E764DD" w:rsidRPr="0009364A">
        <w:rPr>
          <w:sz w:val="24"/>
          <w:szCs w:val="24"/>
        </w:rPr>
        <w:t>ому</w:t>
      </w:r>
      <w:r w:rsidRPr="0009364A">
        <w:rPr>
          <w:sz w:val="24"/>
          <w:szCs w:val="24"/>
        </w:rPr>
        <w:t xml:space="preserve"> врач</w:t>
      </w:r>
      <w:r w:rsidR="00E764DD" w:rsidRPr="0009364A">
        <w:rPr>
          <w:sz w:val="24"/>
          <w:szCs w:val="24"/>
        </w:rPr>
        <w:t>у</w:t>
      </w:r>
      <w:r w:rsidRPr="0009364A">
        <w:rPr>
          <w:sz w:val="24"/>
          <w:szCs w:val="24"/>
        </w:rPr>
        <w:t xml:space="preserve"> </w:t>
      </w:r>
      <w:r w:rsidR="00B572A7" w:rsidRPr="0009364A">
        <w:rPr>
          <w:sz w:val="24"/>
          <w:szCs w:val="24"/>
        </w:rPr>
        <w:t>МБУЗ «Нязепетровская центральная районная больница»</w:t>
      </w:r>
      <w:r w:rsidR="00536C63" w:rsidRPr="0009364A">
        <w:rPr>
          <w:sz w:val="24"/>
          <w:szCs w:val="24"/>
        </w:rPr>
        <w:t xml:space="preserve"> </w:t>
      </w:r>
      <w:r w:rsidR="00F11825" w:rsidRPr="0009364A">
        <w:rPr>
          <w:sz w:val="24"/>
          <w:szCs w:val="24"/>
        </w:rPr>
        <w:t>(</w:t>
      </w:r>
      <w:proofErr w:type="spellStart"/>
      <w:r w:rsidR="00B572A7" w:rsidRPr="0009364A">
        <w:rPr>
          <w:sz w:val="24"/>
          <w:szCs w:val="24"/>
        </w:rPr>
        <w:t>Кутепову</w:t>
      </w:r>
      <w:proofErr w:type="spellEnd"/>
      <w:r w:rsidR="00B572A7" w:rsidRPr="0009364A">
        <w:rPr>
          <w:sz w:val="24"/>
          <w:szCs w:val="24"/>
        </w:rPr>
        <w:t xml:space="preserve"> С.В.</w:t>
      </w:r>
      <w:r w:rsidR="00F11825" w:rsidRPr="0009364A">
        <w:rPr>
          <w:sz w:val="24"/>
          <w:szCs w:val="24"/>
        </w:rPr>
        <w:t>)</w:t>
      </w:r>
      <w:r w:rsidRPr="0009364A">
        <w:rPr>
          <w:sz w:val="24"/>
          <w:szCs w:val="24"/>
        </w:rPr>
        <w:t>:</w:t>
      </w:r>
    </w:p>
    <w:p w:rsidR="003D0B49" w:rsidRPr="0009364A" w:rsidRDefault="003D0B49" w:rsidP="0009364A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Довести среднюю заработную плату до индикативных показателей, утвержденных  Распоряжением Правительства Челябинской области от 29.04.2013 №107 - </w:t>
      </w:r>
      <w:proofErr w:type="spellStart"/>
      <w:r w:rsidRPr="0009364A">
        <w:rPr>
          <w:sz w:val="24"/>
          <w:szCs w:val="24"/>
        </w:rPr>
        <w:t>рп</w:t>
      </w:r>
      <w:proofErr w:type="spellEnd"/>
      <w:r w:rsidRPr="0009364A">
        <w:rPr>
          <w:sz w:val="24"/>
          <w:szCs w:val="24"/>
        </w:rPr>
        <w:t xml:space="preserve"> (с дополнениями) – </w:t>
      </w:r>
      <w:r w:rsidRPr="0009364A">
        <w:rPr>
          <w:b/>
          <w:sz w:val="24"/>
          <w:szCs w:val="24"/>
        </w:rPr>
        <w:t>до 1 ноября 2016 года;</w:t>
      </w:r>
      <w:r w:rsidRPr="0009364A">
        <w:rPr>
          <w:sz w:val="24"/>
          <w:szCs w:val="24"/>
        </w:rPr>
        <w:t xml:space="preserve"> </w:t>
      </w:r>
    </w:p>
    <w:p w:rsidR="003D0B49" w:rsidRPr="0009364A" w:rsidRDefault="00FE16A7" w:rsidP="0009364A">
      <w:pPr>
        <w:pStyle w:val="a6"/>
        <w:numPr>
          <w:ilvl w:val="1"/>
          <w:numId w:val="2"/>
        </w:numPr>
        <w:tabs>
          <w:tab w:val="left" w:pos="0"/>
          <w:tab w:val="left" w:pos="426"/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 </w:t>
      </w:r>
      <w:r w:rsidR="003D0B49" w:rsidRPr="0009364A">
        <w:rPr>
          <w:sz w:val="24"/>
          <w:szCs w:val="24"/>
        </w:rPr>
        <w:t xml:space="preserve">Завершить работу по переводу работников на «эффективные контракты» в соответствии с Программой поэтапного </w:t>
      </w:r>
      <w:proofErr w:type="gramStart"/>
      <w:r w:rsidR="003D0B49" w:rsidRPr="0009364A">
        <w:rPr>
          <w:sz w:val="24"/>
          <w:szCs w:val="24"/>
        </w:rPr>
        <w:t>совершенствования системы оплаты труда работников</w:t>
      </w:r>
      <w:proofErr w:type="gramEnd"/>
      <w:r w:rsidR="003D0B49" w:rsidRPr="0009364A">
        <w:rPr>
          <w:sz w:val="24"/>
          <w:szCs w:val="24"/>
        </w:rPr>
        <w:t xml:space="preserve"> государственных (муниципальных) учреждений на 2012-2018 годы и Распоряжением Правительства РФ от 29.11.2012г. №2190-р – </w:t>
      </w:r>
      <w:r w:rsidR="003D0B49" w:rsidRPr="0009364A">
        <w:rPr>
          <w:b/>
          <w:sz w:val="24"/>
          <w:szCs w:val="24"/>
        </w:rPr>
        <w:t>в срок до 1 декабря 2016 года</w:t>
      </w:r>
      <w:r w:rsidR="006661CD" w:rsidRPr="0009364A">
        <w:rPr>
          <w:b/>
          <w:sz w:val="24"/>
          <w:szCs w:val="24"/>
        </w:rPr>
        <w:t>;</w:t>
      </w:r>
      <w:r w:rsidR="003D0B49" w:rsidRPr="0009364A">
        <w:rPr>
          <w:sz w:val="24"/>
          <w:szCs w:val="24"/>
        </w:rPr>
        <w:t xml:space="preserve"> </w:t>
      </w:r>
    </w:p>
    <w:p w:rsidR="003D0B49" w:rsidRPr="0009364A" w:rsidRDefault="00FE16A7" w:rsidP="0009364A">
      <w:pPr>
        <w:pStyle w:val="a6"/>
        <w:numPr>
          <w:ilvl w:val="1"/>
          <w:numId w:val="2"/>
        </w:numPr>
        <w:tabs>
          <w:tab w:val="left" w:pos="0"/>
          <w:tab w:val="left" w:pos="426"/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 </w:t>
      </w:r>
      <w:r w:rsidR="003D0B49" w:rsidRPr="0009364A">
        <w:rPr>
          <w:sz w:val="24"/>
          <w:szCs w:val="24"/>
        </w:rPr>
        <w:t xml:space="preserve">Не допускать </w:t>
      </w:r>
      <w:r w:rsidR="006661CD" w:rsidRPr="0009364A">
        <w:rPr>
          <w:sz w:val="24"/>
          <w:szCs w:val="24"/>
        </w:rPr>
        <w:t>изменений условий оплаты труда без п</w:t>
      </w:r>
      <w:r w:rsidR="003D0B49" w:rsidRPr="0009364A">
        <w:rPr>
          <w:sz w:val="24"/>
          <w:szCs w:val="24"/>
        </w:rPr>
        <w:t>редупреж</w:t>
      </w:r>
      <w:r w:rsidR="006661CD" w:rsidRPr="0009364A">
        <w:rPr>
          <w:sz w:val="24"/>
          <w:szCs w:val="24"/>
        </w:rPr>
        <w:t>дения</w:t>
      </w:r>
      <w:r w:rsidR="003D0B49" w:rsidRPr="0009364A">
        <w:rPr>
          <w:sz w:val="24"/>
          <w:szCs w:val="24"/>
        </w:rPr>
        <w:t xml:space="preserve"> работников письменно не менее чем за два месяца </w:t>
      </w:r>
      <w:r w:rsidR="006661CD" w:rsidRPr="0009364A">
        <w:rPr>
          <w:sz w:val="24"/>
          <w:szCs w:val="24"/>
        </w:rPr>
        <w:t xml:space="preserve">(ст. 22 ТК РФ) </w:t>
      </w:r>
      <w:r w:rsidR="003D0B49" w:rsidRPr="0009364A">
        <w:rPr>
          <w:sz w:val="24"/>
          <w:szCs w:val="24"/>
        </w:rPr>
        <w:t xml:space="preserve">– </w:t>
      </w:r>
      <w:r w:rsidR="003D0B49" w:rsidRPr="0009364A">
        <w:rPr>
          <w:b/>
          <w:sz w:val="24"/>
          <w:szCs w:val="24"/>
        </w:rPr>
        <w:t>по</w:t>
      </w:r>
      <w:r w:rsidR="006661CD" w:rsidRPr="0009364A">
        <w:rPr>
          <w:b/>
          <w:sz w:val="24"/>
          <w:szCs w:val="24"/>
        </w:rPr>
        <w:t>стоянно</w:t>
      </w:r>
      <w:r w:rsidR="003D0B49" w:rsidRPr="0009364A">
        <w:rPr>
          <w:sz w:val="24"/>
          <w:szCs w:val="24"/>
        </w:rPr>
        <w:t>;</w:t>
      </w:r>
    </w:p>
    <w:p w:rsidR="006661CD" w:rsidRPr="0009364A" w:rsidRDefault="006661CD" w:rsidP="0009364A">
      <w:pPr>
        <w:pStyle w:val="a6"/>
        <w:numPr>
          <w:ilvl w:val="1"/>
          <w:numId w:val="2"/>
        </w:numPr>
        <w:tabs>
          <w:tab w:val="left" w:pos="0"/>
          <w:tab w:val="left" w:pos="426"/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Заключать дополнительные соглашения к трудовым договорам в связи с изменением условий оплаты труда (ст. 72 ТК РФ) – </w:t>
      </w:r>
      <w:r w:rsidRPr="0009364A">
        <w:rPr>
          <w:b/>
          <w:sz w:val="24"/>
          <w:szCs w:val="24"/>
        </w:rPr>
        <w:t>постоянно;</w:t>
      </w:r>
      <w:r w:rsidRPr="0009364A">
        <w:rPr>
          <w:sz w:val="24"/>
          <w:szCs w:val="24"/>
        </w:rPr>
        <w:t xml:space="preserve"> </w:t>
      </w:r>
    </w:p>
    <w:p w:rsidR="006661CD" w:rsidRPr="0009364A" w:rsidRDefault="00FE16A7" w:rsidP="0009364A">
      <w:pPr>
        <w:pStyle w:val="a6"/>
        <w:numPr>
          <w:ilvl w:val="1"/>
          <w:numId w:val="2"/>
        </w:numPr>
        <w:tabs>
          <w:tab w:val="left" w:pos="0"/>
          <w:tab w:val="left" w:pos="426"/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 </w:t>
      </w:r>
      <w:r w:rsidR="006661CD" w:rsidRPr="0009364A">
        <w:rPr>
          <w:sz w:val="24"/>
          <w:szCs w:val="24"/>
        </w:rPr>
        <w:t xml:space="preserve">В локальных нормативных актах по оплате труда, в трудовых договорах работников предусмотреть сроки выплаты заработной платы – </w:t>
      </w:r>
      <w:r w:rsidR="006661CD" w:rsidRPr="0009364A">
        <w:rPr>
          <w:b/>
          <w:sz w:val="24"/>
          <w:szCs w:val="24"/>
        </w:rPr>
        <w:t>в срок до 01 октября 2016 года;</w:t>
      </w:r>
      <w:r w:rsidR="006661CD" w:rsidRPr="0009364A">
        <w:rPr>
          <w:sz w:val="24"/>
          <w:szCs w:val="24"/>
        </w:rPr>
        <w:t xml:space="preserve"> </w:t>
      </w:r>
    </w:p>
    <w:p w:rsidR="006661CD" w:rsidRPr="0009364A" w:rsidRDefault="006661CD" w:rsidP="0009364A">
      <w:pPr>
        <w:pStyle w:val="a6"/>
        <w:numPr>
          <w:ilvl w:val="1"/>
          <w:numId w:val="2"/>
        </w:numPr>
        <w:tabs>
          <w:tab w:val="left" w:pos="0"/>
          <w:tab w:val="left" w:pos="426"/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Выплаты, полученные работниками за организацию и оказание платных медицинских услуг включать в расчет среднего заработка при оплате отпуска – </w:t>
      </w:r>
      <w:r w:rsidRPr="0009364A">
        <w:rPr>
          <w:b/>
          <w:sz w:val="24"/>
          <w:szCs w:val="24"/>
        </w:rPr>
        <w:t>постоянно</w:t>
      </w:r>
      <w:r w:rsidRPr="0009364A">
        <w:rPr>
          <w:sz w:val="24"/>
          <w:szCs w:val="24"/>
        </w:rPr>
        <w:t xml:space="preserve">; </w:t>
      </w:r>
    </w:p>
    <w:p w:rsidR="006661CD" w:rsidRPr="0009364A" w:rsidRDefault="00FE16A7" w:rsidP="0009364A">
      <w:pPr>
        <w:pStyle w:val="a6"/>
        <w:numPr>
          <w:ilvl w:val="1"/>
          <w:numId w:val="2"/>
        </w:numPr>
        <w:tabs>
          <w:tab w:val="left" w:pos="0"/>
          <w:tab w:val="left" w:pos="426"/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 </w:t>
      </w:r>
      <w:r w:rsidR="006661CD" w:rsidRPr="0009364A">
        <w:rPr>
          <w:sz w:val="24"/>
          <w:szCs w:val="24"/>
        </w:rPr>
        <w:t>Оформлять графики работы в соответствие со ст. 103 ТК РФ</w:t>
      </w:r>
      <w:r w:rsidR="00A723EA" w:rsidRPr="0009364A">
        <w:rPr>
          <w:sz w:val="24"/>
          <w:szCs w:val="24"/>
        </w:rPr>
        <w:t>, не допускать сверхурочную работу в нарушение Трудового кодекса РФ</w:t>
      </w:r>
      <w:r w:rsidR="006661CD" w:rsidRPr="0009364A">
        <w:rPr>
          <w:sz w:val="24"/>
          <w:szCs w:val="24"/>
        </w:rPr>
        <w:t xml:space="preserve"> – </w:t>
      </w:r>
      <w:r w:rsidR="006661CD" w:rsidRPr="0009364A">
        <w:rPr>
          <w:b/>
          <w:sz w:val="24"/>
          <w:szCs w:val="24"/>
        </w:rPr>
        <w:t>постоянно;</w:t>
      </w:r>
    </w:p>
    <w:p w:rsidR="00F36B57" w:rsidRPr="0009364A" w:rsidRDefault="00FE16A7" w:rsidP="0009364A">
      <w:pPr>
        <w:pStyle w:val="a6"/>
        <w:numPr>
          <w:ilvl w:val="1"/>
          <w:numId w:val="2"/>
        </w:numPr>
        <w:tabs>
          <w:tab w:val="left" w:pos="0"/>
          <w:tab w:val="left" w:pos="426"/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 </w:t>
      </w:r>
      <w:r w:rsidR="00F36B57" w:rsidRPr="0009364A">
        <w:rPr>
          <w:sz w:val="24"/>
          <w:szCs w:val="24"/>
        </w:rPr>
        <w:t xml:space="preserve">Проводить повышение квалификации работников за счет работодателя – </w:t>
      </w:r>
      <w:r w:rsidR="00F36B57" w:rsidRPr="0009364A">
        <w:rPr>
          <w:b/>
          <w:sz w:val="24"/>
          <w:szCs w:val="24"/>
        </w:rPr>
        <w:t>постоянно;</w:t>
      </w:r>
    </w:p>
    <w:p w:rsidR="00F36B57" w:rsidRPr="0009364A" w:rsidRDefault="00FE16A7" w:rsidP="0009364A">
      <w:pPr>
        <w:pStyle w:val="a6"/>
        <w:numPr>
          <w:ilvl w:val="1"/>
          <w:numId w:val="2"/>
        </w:numPr>
        <w:tabs>
          <w:tab w:val="left" w:pos="0"/>
          <w:tab w:val="left" w:pos="426"/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lastRenderedPageBreak/>
        <w:t xml:space="preserve"> </w:t>
      </w:r>
      <w:r w:rsidR="00F36B57" w:rsidRPr="0009364A">
        <w:rPr>
          <w:sz w:val="24"/>
          <w:szCs w:val="24"/>
        </w:rPr>
        <w:t>Выплатить работникам задолженность по оплате повышения квалификации и командировочным расходам</w:t>
      </w:r>
      <w:r w:rsidR="00F36B57" w:rsidRPr="0009364A">
        <w:rPr>
          <w:b/>
          <w:sz w:val="24"/>
          <w:szCs w:val="24"/>
        </w:rPr>
        <w:t xml:space="preserve"> - в срок до 01 октября 2016г</w:t>
      </w:r>
      <w:r w:rsidR="00A723EA" w:rsidRPr="0009364A">
        <w:rPr>
          <w:b/>
          <w:sz w:val="24"/>
          <w:szCs w:val="24"/>
        </w:rPr>
        <w:t>;</w:t>
      </w:r>
    </w:p>
    <w:p w:rsidR="00F36B57" w:rsidRPr="0009364A" w:rsidRDefault="00F36B57" w:rsidP="0009364A">
      <w:pPr>
        <w:pStyle w:val="a6"/>
        <w:numPr>
          <w:ilvl w:val="1"/>
          <w:numId w:val="2"/>
        </w:numPr>
        <w:tabs>
          <w:tab w:val="left" w:pos="0"/>
          <w:tab w:val="left" w:pos="426"/>
          <w:tab w:val="left" w:pos="567"/>
          <w:tab w:val="left" w:pos="851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Установить работникам, ранее не имеющим компенсационные выплаты за вредные и (или) опасные условия труда, не менее 4% к должностному окладу -</w:t>
      </w:r>
      <w:r w:rsidRPr="0009364A">
        <w:rPr>
          <w:b/>
          <w:sz w:val="24"/>
          <w:szCs w:val="24"/>
        </w:rPr>
        <w:t xml:space="preserve"> в срок до 01 октября 2016г</w:t>
      </w:r>
      <w:r w:rsidR="00A723EA" w:rsidRPr="0009364A">
        <w:rPr>
          <w:b/>
          <w:sz w:val="24"/>
          <w:szCs w:val="24"/>
        </w:rPr>
        <w:t>;</w:t>
      </w:r>
    </w:p>
    <w:p w:rsidR="00F36B57" w:rsidRPr="0009364A" w:rsidRDefault="00A723EA" w:rsidP="0009364A">
      <w:pPr>
        <w:pStyle w:val="a6"/>
        <w:numPr>
          <w:ilvl w:val="1"/>
          <w:numId w:val="2"/>
        </w:numPr>
        <w:tabs>
          <w:tab w:val="left" w:pos="0"/>
          <w:tab w:val="left" w:pos="426"/>
          <w:tab w:val="left" w:pos="567"/>
          <w:tab w:val="left" w:pos="851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Обеспечить х</w:t>
      </w:r>
      <w:r w:rsidR="00F36B57" w:rsidRPr="0009364A">
        <w:rPr>
          <w:sz w:val="24"/>
          <w:szCs w:val="24"/>
        </w:rPr>
        <w:t>ранение</w:t>
      </w:r>
      <w:r w:rsidRPr="0009364A">
        <w:rPr>
          <w:sz w:val="24"/>
          <w:szCs w:val="24"/>
        </w:rPr>
        <w:t>, транспортировку, эксплуатацию</w:t>
      </w:r>
      <w:r w:rsidR="00F36B57" w:rsidRPr="0009364A">
        <w:rPr>
          <w:sz w:val="24"/>
          <w:szCs w:val="24"/>
        </w:rPr>
        <w:t xml:space="preserve"> кислородных </w:t>
      </w:r>
      <w:r w:rsidRPr="0009364A">
        <w:rPr>
          <w:sz w:val="24"/>
          <w:szCs w:val="24"/>
        </w:rPr>
        <w:t>баллонов в соответствии с действующим законодательством</w:t>
      </w:r>
      <w:r w:rsidRPr="0009364A">
        <w:rPr>
          <w:b/>
          <w:sz w:val="24"/>
          <w:szCs w:val="24"/>
        </w:rPr>
        <w:t xml:space="preserve"> - в срок до 25 сентября 2016 года</w:t>
      </w:r>
      <w:r w:rsidRPr="0009364A">
        <w:rPr>
          <w:sz w:val="24"/>
          <w:szCs w:val="24"/>
        </w:rPr>
        <w:t>;</w:t>
      </w:r>
    </w:p>
    <w:p w:rsidR="00A723EA" w:rsidRPr="0009364A" w:rsidRDefault="00A723EA" w:rsidP="0009364A">
      <w:pPr>
        <w:pStyle w:val="a6"/>
        <w:numPr>
          <w:ilvl w:val="1"/>
          <w:numId w:val="2"/>
        </w:numPr>
        <w:tabs>
          <w:tab w:val="left" w:pos="0"/>
          <w:tab w:val="left" w:pos="426"/>
          <w:tab w:val="left" w:pos="567"/>
          <w:tab w:val="left" w:pos="851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Не допускать работников к работе без средств индивидуальной защиты – </w:t>
      </w:r>
      <w:r w:rsidRPr="0009364A">
        <w:rPr>
          <w:b/>
          <w:sz w:val="24"/>
          <w:szCs w:val="24"/>
        </w:rPr>
        <w:t>постоянно;</w:t>
      </w:r>
    </w:p>
    <w:p w:rsidR="006661CD" w:rsidRPr="0009364A" w:rsidRDefault="006661CD" w:rsidP="0009364A">
      <w:pPr>
        <w:tabs>
          <w:tab w:val="left" w:pos="567"/>
        </w:tabs>
        <w:spacing w:line="360" w:lineRule="auto"/>
        <w:ind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2. Главному врачу МБУЗ «Нязепетровская центральная районная больница» (</w:t>
      </w:r>
      <w:proofErr w:type="spellStart"/>
      <w:r w:rsidRPr="0009364A">
        <w:rPr>
          <w:sz w:val="24"/>
          <w:szCs w:val="24"/>
        </w:rPr>
        <w:t>Кутепову</w:t>
      </w:r>
      <w:proofErr w:type="spellEnd"/>
      <w:r w:rsidRPr="0009364A">
        <w:rPr>
          <w:sz w:val="24"/>
          <w:szCs w:val="24"/>
        </w:rPr>
        <w:t xml:space="preserve"> С.В.), Председателю первичной профсоюзной организации (Степановой Н.Н.)</w:t>
      </w:r>
    </w:p>
    <w:p w:rsidR="00F04510" w:rsidRPr="0009364A" w:rsidRDefault="00F04510" w:rsidP="0009364A">
      <w:pPr>
        <w:tabs>
          <w:tab w:val="left" w:pos="567"/>
        </w:tabs>
        <w:spacing w:line="360" w:lineRule="auto"/>
        <w:ind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2.1. </w:t>
      </w:r>
      <w:r w:rsidR="007766C0" w:rsidRPr="0009364A">
        <w:rPr>
          <w:sz w:val="24"/>
          <w:szCs w:val="24"/>
        </w:rPr>
        <w:t xml:space="preserve">Ускорить заключение </w:t>
      </w:r>
      <w:r w:rsidR="00BB4BAA" w:rsidRPr="0009364A">
        <w:rPr>
          <w:sz w:val="24"/>
          <w:szCs w:val="24"/>
        </w:rPr>
        <w:t>коллективн</w:t>
      </w:r>
      <w:r w:rsidR="007766C0" w:rsidRPr="0009364A">
        <w:rPr>
          <w:sz w:val="24"/>
          <w:szCs w:val="24"/>
        </w:rPr>
        <w:t xml:space="preserve">ого </w:t>
      </w:r>
      <w:r w:rsidR="00BB4BAA" w:rsidRPr="0009364A">
        <w:rPr>
          <w:sz w:val="24"/>
          <w:szCs w:val="24"/>
        </w:rPr>
        <w:t>договор</w:t>
      </w:r>
      <w:r w:rsidR="007766C0" w:rsidRPr="0009364A">
        <w:rPr>
          <w:sz w:val="24"/>
          <w:szCs w:val="24"/>
        </w:rPr>
        <w:t>а</w:t>
      </w:r>
      <w:r w:rsidR="00BB4BAA" w:rsidRPr="0009364A">
        <w:rPr>
          <w:sz w:val="24"/>
          <w:szCs w:val="24"/>
        </w:rPr>
        <w:t xml:space="preserve"> и </w:t>
      </w:r>
      <w:r w:rsidR="007766C0" w:rsidRPr="0009364A">
        <w:rPr>
          <w:sz w:val="24"/>
          <w:szCs w:val="24"/>
        </w:rPr>
        <w:t>принятие Правил внутреннего трудового распорядка</w:t>
      </w:r>
      <w:r w:rsidRPr="0009364A">
        <w:rPr>
          <w:sz w:val="24"/>
          <w:szCs w:val="24"/>
        </w:rPr>
        <w:t xml:space="preserve"> </w:t>
      </w:r>
      <w:r w:rsidRPr="0009364A">
        <w:rPr>
          <w:b/>
          <w:sz w:val="24"/>
          <w:szCs w:val="24"/>
        </w:rPr>
        <w:t xml:space="preserve">в срок до 15 </w:t>
      </w:r>
      <w:r w:rsidR="007766C0" w:rsidRPr="0009364A">
        <w:rPr>
          <w:b/>
          <w:sz w:val="24"/>
          <w:szCs w:val="24"/>
        </w:rPr>
        <w:t>октября</w:t>
      </w:r>
      <w:r w:rsidRPr="0009364A">
        <w:rPr>
          <w:b/>
          <w:sz w:val="24"/>
          <w:szCs w:val="24"/>
        </w:rPr>
        <w:t xml:space="preserve"> 2016 года</w:t>
      </w:r>
      <w:r w:rsidRPr="0009364A">
        <w:rPr>
          <w:sz w:val="24"/>
          <w:szCs w:val="24"/>
        </w:rPr>
        <w:t>.</w:t>
      </w:r>
    </w:p>
    <w:p w:rsidR="001C20E5" w:rsidRPr="0009364A" w:rsidRDefault="009276C0" w:rsidP="0009364A">
      <w:pPr>
        <w:tabs>
          <w:tab w:val="left" w:pos="567"/>
        </w:tabs>
        <w:spacing w:line="360" w:lineRule="auto"/>
        <w:ind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 </w:t>
      </w:r>
      <w:r w:rsidR="001C20E5" w:rsidRPr="0009364A">
        <w:rPr>
          <w:sz w:val="24"/>
          <w:szCs w:val="24"/>
        </w:rPr>
        <w:t>3</w:t>
      </w:r>
      <w:r w:rsidR="00F04510" w:rsidRPr="0009364A">
        <w:rPr>
          <w:sz w:val="24"/>
          <w:szCs w:val="24"/>
        </w:rPr>
        <w:t>. Председател</w:t>
      </w:r>
      <w:r w:rsidR="001C20E5" w:rsidRPr="0009364A">
        <w:rPr>
          <w:sz w:val="24"/>
          <w:szCs w:val="24"/>
        </w:rPr>
        <w:t>ю</w:t>
      </w:r>
      <w:r w:rsidR="00F04510" w:rsidRPr="0009364A">
        <w:rPr>
          <w:sz w:val="24"/>
          <w:szCs w:val="24"/>
        </w:rPr>
        <w:t xml:space="preserve"> первичн</w:t>
      </w:r>
      <w:r w:rsidR="001C20E5" w:rsidRPr="0009364A">
        <w:rPr>
          <w:sz w:val="24"/>
          <w:szCs w:val="24"/>
        </w:rPr>
        <w:t>ой</w:t>
      </w:r>
      <w:r w:rsidR="00F04510" w:rsidRPr="0009364A">
        <w:rPr>
          <w:sz w:val="24"/>
          <w:szCs w:val="24"/>
        </w:rPr>
        <w:t xml:space="preserve"> профсоюзн</w:t>
      </w:r>
      <w:r w:rsidR="001C20E5" w:rsidRPr="0009364A">
        <w:rPr>
          <w:sz w:val="24"/>
          <w:szCs w:val="24"/>
        </w:rPr>
        <w:t>ой</w:t>
      </w:r>
      <w:r w:rsidR="00F04510" w:rsidRPr="0009364A">
        <w:rPr>
          <w:sz w:val="24"/>
          <w:szCs w:val="24"/>
        </w:rPr>
        <w:t xml:space="preserve"> организаци</w:t>
      </w:r>
      <w:r w:rsidR="001C20E5" w:rsidRPr="0009364A">
        <w:rPr>
          <w:sz w:val="24"/>
          <w:szCs w:val="24"/>
        </w:rPr>
        <w:t xml:space="preserve">и </w:t>
      </w:r>
      <w:r w:rsidR="00B572A7" w:rsidRPr="0009364A">
        <w:rPr>
          <w:sz w:val="24"/>
          <w:szCs w:val="24"/>
        </w:rPr>
        <w:t>МБУЗ «Нязепетровская центральная районная больница»</w:t>
      </w:r>
      <w:r w:rsidR="001C20E5" w:rsidRPr="0009364A">
        <w:rPr>
          <w:sz w:val="24"/>
          <w:szCs w:val="24"/>
        </w:rPr>
        <w:t xml:space="preserve"> (</w:t>
      </w:r>
      <w:r w:rsidR="00B572A7" w:rsidRPr="0009364A">
        <w:rPr>
          <w:sz w:val="24"/>
          <w:szCs w:val="24"/>
        </w:rPr>
        <w:t>Степановой Н.Н</w:t>
      </w:r>
      <w:r w:rsidR="001C20E5" w:rsidRPr="0009364A">
        <w:rPr>
          <w:sz w:val="24"/>
          <w:szCs w:val="24"/>
        </w:rPr>
        <w:t>.):</w:t>
      </w:r>
    </w:p>
    <w:p w:rsidR="00F04510" w:rsidRPr="0009364A" w:rsidRDefault="001C20E5" w:rsidP="0009364A">
      <w:pPr>
        <w:tabs>
          <w:tab w:val="left" w:pos="567"/>
        </w:tabs>
        <w:spacing w:line="360" w:lineRule="auto"/>
        <w:ind w:firstLine="284"/>
        <w:jc w:val="both"/>
        <w:rPr>
          <w:b/>
          <w:sz w:val="24"/>
          <w:szCs w:val="24"/>
        </w:rPr>
      </w:pPr>
      <w:r w:rsidRPr="0009364A">
        <w:rPr>
          <w:sz w:val="24"/>
          <w:szCs w:val="24"/>
        </w:rPr>
        <w:t>3</w:t>
      </w:r>
      <w:r w:rsidR="00F04510" w:rsidRPr="0009364A">
        <w:rPr>
          <w:sz w:val="24"/>
          <w:szCs w:val="24"/>
        </w:rPr>
        <w:t>.1. Довести до сведения профсоюзн</w:t>
      </w:r>
      <w:r w:rsidRPr="0009364A">
        <w:rPr>
          <w:sz w:val="24"/>
          <w:szCs w:val="24"/>
        </w:rPr>
        <w:t>ого</w:t>
      </w:r>
      <w:r w:rsidR="00F04510" w:rsidRPr="0009364A">
        <w:rPr>
          <w:sz w:val="24"/>
          <w:szCs w:val="24"/>
        </w:rPr>
        <w:t xml:space="preserve"> комитет</w:t>
      </w:r>
      <w:r w:rsidRPr="0009364A">
        <w:rPr>
          <w:sz w:val="24"/>
          <w:szCs w:val="24"/>
        </w:rPr>
        <w:t>а</w:t>
      </w:r>
      <w:r w:rsidR="00F04510" w:rsidRPr="0009364A">
        <w:rPr>
          <w:sz w:val="24"/>
          <w:szCs w:val="24"/>
        </w:rPr>
        <w:t xml:space="preserve"> Постановление Президиума Комитета Профсоюза </w:t>
      </w:r>
      <w:r w:rsidR="00F04510" w:rsidRPr="0009364A">
        <w:rPr>
          <w:b/>
          <w:sz w:val="24"/>
          <w:szCs w:val="24"/>
        </w:rPr>
        <w:t xml:space="preserve"> в срок до 01 </w:t>
      </w:r>
      <w:r w:rsidRPr="0009364A">
        <w:rPr>
          <w:b/>
          <w:sz w:val="24"/>
          <w:szCs w:val="24"/>
        </w:rPr>
        <w:t>октября</w:t>
      </w:r>
      <w:r w:rsidR="00F04510" w:rsidRPr="0009364A">
        <w:rPr>
          <w:b/>
          <w:sz w:val="24"/>
          <w:szCs w:val="24"/>
        </w:rPr>
        <w:t xml:space="preserve"> 2016 года;</w:t>
      </w:r>
    </w:p>
    <w:p w:rsidR="0046436F" w:rsidRPr="0009364A" w:rsidRDefault="001C20E5" w:rsidP="0009364A">
      <w:pPr>
        <w:tabs>
          <w:tab w:val="left" w:pos="567"/>
        </w:tabs>
        <w:spacing w:line="360" w:lineRule="auto"/>
        <w:ind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3</w:t>
      </w:r>
      <w:r w:rsidR="00F04510" w:rsidRPr="0009364A">
        <w:rPr>
          <w:sz w:val="24"/>
          <w:szCs w:val="24"/>
        </w:rPr>
        <w:t xml:space="preserve">.2. Осуществлять </w:t>
      </w:r>
      <w:proofErr w:type="gramStart"/>
      <w:r w:rsidR="00F04510" w:rsidRPr="0009364A">
        <w:rPr>
          <w:sz w:val="24"/>
          <w:szCs w:val="24"/>
        </w:rPr>
        <w:t>контроль за</w:t>
      </w:r>
      <w:proofErr w:type="gramEnd"/>
      <w:r w:rsidR="00F04510" w:rsidRPr="0009364A">
        <w:rPr>
          <w:sz w:val="24"/>
          <w:szCs w:val="24"/>
        </w:rPr>
        <w:t xml:space="preserve"> соблюдением работодателями </w:t>
      </w:r>
      <w:r w:rsidR="00B572A7" w:rsidRPr="0009364A">
        <w:rPr>
          <w:sz w:val="24"/>
          <w:szCs w:val="24"/>
        </w:rPr>
        <w:t>МБУЗ «Нязепетровская центральная районная больница»</w:t>
      </w:r>
      <w:r w:rsidR="00F04510" w:rsidRPr="0009364A">
        <w:rPr>
          <w:sz w:val="24"/>
          <w:szCs w:val="24"/>
        </w:rPr>
        <w:t xml:space="preserve"> трудового законодательства по оплате, охране труда </w:t>
      </w:r>
      <w:r w:rsidR="0046436F" w:rsidRPr="0009364A">
        <w:rPr>
          <w:sz w:val="24"/>
          <w:szCs w:val="24"/>
        </w:rPr>
        <w:t>–</w:t>
      </w:r>
      <w:r w:rsidR="0046436F" w:rsidRPr="0009364A">
        <w:rPr>
          <w:b/>
          <w:sz w:val="24"/>
          <w:szCs w:val="24"/>
        </w:rPr>
        <w:t xml:space="preserve"> постоянно;</w:t>
      </w:r>
    </w:p>
    <w:p w:rsidR="00F04510" w:rsidRPr="0009364A" w:rsidRDefault="001C20E5" w:rsidP="0009364A">
      <w:pPr>
        <w:tabs>
          <w:tab w:val="left" w:pos="567"/>
        </w:tabs>
        <w:spacing w:line="360" w:lineRule="auto"/>
        <w:ind w:firstLine="284"/>
        <w:jc w:val="both"/>
        <w:rPr>
          <w:b/>
          <w:sz w:val="24"/>
          <w:szCs w:val="24"/>
        </w:rPr>
      </w:pPr>
      <w:r w:rsidRPr="0009364A">
        <w:rPr>
          <w:sz w:val="24"/>
          <w:szCs w:val="24"/>
        </w:rPr>
        <w:t>3</w:t>
      </w:r>
      <w:r w:rsidR="0046436F" w:rsidRPr="0009364A">
        <w:rPr>
          <w:sz w:val="24"/>
          <w:szCs w:val="24"/>
        </w:rPr>
        <w:t>.3. Заслушивать вопросы соблюдения трудового законодательства, оплаты и охраны труда н</w:t>
      </w:r>
      <w:r w:rsidR="00F04510" w:rsidRPr="0009364A">
        <w:rPr>
          <w:sz w:val="24"/>
          <w:szCs w:val="24"/>
        </w:rPr>
        <w:t>а заседаниях профсоюзного комитета –</w:t>
      </w:r>
      <w:r w:rsidR="00F04510" w:rsidRPr="0009364A">
        <w:rPr>
          <w:b/>
          <w:sz w:val="24"/>
          <w:szCs w:val="24"/>
        </w:rPr>
        <w:t xml:space="preserve"> постоянно;</w:t>
      </w:r>
    </w:p>
    <w:p w:rsidR="003B313D" w:rsidRPr="0009364A" w:rsidRDefault="003B313D" w:rsidP="0009364A">
      <w:pPr>
        <w:tabs>
          <w:tab w:val="left" w:pos="567"/>
        </w:tabs>
        <w:spacing w:line="360" w:lineRule="auto"/>
        <w:ind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3.</w:t>
      </w:r>
      <w:r w:rsidR="00382D49" w:rsidRPr="0009364A">
        <w:rPr>
          <w:sz w:val="24"/>
          <w:szCs w:val="24"/>
        </w:rPr>
        <w:t>4</w:t>
      </w:r>
      <w:r w:rsidRPr="0009364A">
        <w:rPr>
          <w:sz w:val="24"/>
          <w:szCs w:val="24"/>
        </w:rPr>
        <w:t xml:space="preserve">. </w:t>
      </w:r>
      <w:r w:rsidR="00673038" w:rsidRPr="0009364A">
        <w:rPr>
          <w:sz w:val="24"/>
          <w:szCs w:val="24"/>
        </w:rPr>
        <w:t xml:space="preserve">Предоставлять работодателю при принятии локальных нормативных актов, содержащих нормы трудового права, мотивированное мнение в порядке, предусмотренном ст. 372 ТК РФ – </w:t>
      </w:r>
      <w:r w:rsidR="00673038" w:rsidRPr="0009364A">
        <w:rPr>
          <w:b/>
          <w:sz w:val="24"/>
          <w:szCs w:val="24"/>
        </w:rPr>
        <w:t>по мере необходимости;</w:t>
      </w:r>
    </w:p>
    <w:p w:rsidR="00F04510" w:rsidRPr="0009364A" w:rsidRDefault="001C20E5" w:rsidP="0009364A">
      <w:pPr>
        <w:tabs>
          <w:tab w:val="left" w:pos="567"/>
        </w:tabs>
        <w:spacing w:line="360" w:lineRule="auto"/>
        <w:ind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3</w:t>
      </w:r>
      <w:r w:rsidR="00F04510" w:rsidRPr="0009364A">
        <w:rPr>
          <w:sz w:val="24"/>
          <w:szCs w:val="24"/>
        </w:rPr>
        <w:t>.</w:t>
      </w:r>
      <w:r w:rsidR="00382D49" w:rsidRPr="0009364A">
        <w:rPr>
          <w:sz w:val="24"/>
          <w:szCs w:val="24"/>
        </w:rPr>
        <w:t>5</w:t>
      </w:r>
      <w:r w:rsidR="00F04510" w:rsidRPr="0009364A">
        <w:rPr>
          <w:sz w:val="24"/>
          <w:szCs w:val="24"/>
        </w:rPr>
        <w:t xml:space="preserve">. Разработать план мероприятий по мотивации профсоюзного членства. </w:t>
      </w:r>
      <w:r w:rsidRPr="0009364A">
        <w:rPr>
          <w:sz w:val="24"/>
          <w:szCs w:val="24"/>
        </w:rPr>
        <w:t xml:space="preserve">Довести охват </w:t>
      </w:r>
      <w:r w:rsidR="00F04510" w:rsidRPr="0009364A">
        <w:rPr>
          <w:sz w:val="24"/>
          <w:szCs w:val="24"/>
        </w:rPr>
        <w:t>профсоюзн</w:t>
      </w:r>
      <w:r w:rsidRPr="0009364A">
        <w:rPr>
          <w:sz w:val="24"/>
          <w:szCs w:val="24"/>
        </w:rPr>
        <w:t>ым</w:t>
      </w:r>
      <w:r w:rsidR="00F04510" w:rsidRPr="0009364A">
        <w:rPr>
          <w:sz w:val="24"/>
          <w:szCs w:val="24"/>
        </w:rPr>
        <w:t xml:space="preserve"> членство</w:t>
      </w:r>
      <w:r w:rsidRPr="0009364A">
        <w:rPr>
          <w:sz w:val="24"/>
          <w:szCs w:val="24"/>
        </w:rPr>
        <w:t>м</w:t>
      </w:r>
      <w:r w:rsidR="00F04510" w:rsidRPr="0009364A">
        <w:rPr>
          <w:sz w:val="24"/>
          <w:szCs w:val="24"/>
        </w:rPr>
        <w:t xml:space="preserve"> </w:t>
      </w:r>
      <w:r w:rsidR="00673038" w:rsidRPr="0009364A">
        <w:rPr>
          <w:sz w:val="24"/>
          <w:szCs w:val="24"/>
        </w:rPr>
        <w:t>до</w:t>
      </w:r>
      <w:r w:rsidRPr="0009364A">
        <w:rPr>
          <w:sz w:val="24"/>
          <w:szCs w:val="24"/>
        </w:rPr>
        <w:t xml:space="preserve"> </w:t>
      </w:r>
      <w:r w:rsidR="00F04510" w:rsidRPr="0009364A">
        <w:rPr>
          <w:sz w:val="24"/>
          <w:szCs w:val="24"/>
        </w:rPr>
        <w:t xml:space="preserve">областного уровня (80,1%) </w:t>
      </w:r>
      <w:r w:rsidR="00F04510" w:rsidRPr="0009364A">
        <w:rPr>
          <w:b/>
          <w:sz w:val="24"/>
          <w:szCs w:val="24"/>
        </w:rPr>
        <w:t>в срок до 01 декабря 2016 года</w:t>
      </w:r>
      <w:r w:rsidR="00F04510" w:rsidRPr="0009364A">
        <w:rPr>
          <w:sz w:val="24"/>
          <w:szCs w:val="24"/>
        </w:rPr>
        <w:t>;</w:t>
      </w:r>
    </w:p>
    <w:p w:rsidR="00F04510" w:rsidRPr="0009364A" w:rsidRDefault="001C20E5" w:rsidP="0009364A">
      <w:pPr>
        <w:tabs>
          <w:tab w:val="left" w:pos="567"/>
        </w:tabs>
        <w:spacing w:line="360" w:lineRule="auto"/>
        <w:ind w:firstLine="284"/>
        <w:jc w:val="both"/>
        <w:rPr>
          <w:b/>
          <w:sz w:val="24"/>
          <w:szCs w:val="24"/>
        </w:rPr>
      </w:pPr>
      <w:r w:rsidRPr="0009364A">
        <w:rPr>
          <w:sz w:val="24"/>
          <w:szCs w:val="24"/>
        </w:rPr>
        <w:t>3</w:t>
      </w:r>
      <w:r w:rsidR="00F04510" w:rsidRPr="0009364A">
        <w:rPr>
          <w:sz w:val="24"/>
          <w:szCs w:val="24"/>
        </w:rPr>
        <w:t>.</w:t>
      </w:r>
      <w:r w:rsidR="00382D49" w:rsidRPr="0009364A">
        <w:rPr>
          <w:sz w:val="24"/>
          <w:szCs w:val="24"/>
        </w:rPr>
        <w:t>6</w:t>
      </w:r>
      <w:r w:rsidR="00F04510" w:rsidRPr="0009364A">
        <w:rPr>
          <w:sz w:val="24"/>
          <w:szCs w:val="24"/>
        </w:rPr>
        <w:t xml:space="preserve">. Провести </w:t>
      </w:r>
      <w:proofErr w:type="gramStart"/>
      <w:r w:rsidR="00F04510" w:rsidRPr="0009364A">
        <w:rPr>
          <w:sz w:val="24"/>
          <w:szCs w:val="24"/>
        </w:rPr>
        <w:t>обучение профсоюзного актива по вопросам</w:t>
      </w:r>
      <w:proofErr w:type="gramEnd"/>
      <w:r w:rsidR="00F04510" w:rsidRPr="0009364A">
        <w:rPr>
          <w:sz w:val="24"/>
          <w:szCs w:val="24"/>
        </w:rPr>
        <w:t xml:space="preserve"> трудового законодательства</w:t>
      </w:r>
      <w:r w:rsidR="00F36B57" w:rsidRPr="0009364A">
        <w:rPr>
          <w:sz w:val="24"/>
          <w:szCs w:val="24"/>
        </w:rPr>
        <w:t>, оплаты и охраны труда</w:t>
      </w:r>
      <w:r w:rsidR="00F04510" w:rsidRPr="0009364A">
        <w:rPr>
          <w:b/>
          <w:sz w:val="24"/>
          <w:szCs w:val="24"/>
        </w:rPr>
        <w:t xml:space="preserve"> в </w:t>
      </w:r>
      <w:r w:rsidRPr="0009364A">
        <w:rPr>
          <w:b/>
          <w:sz w:val="24"/>
          <w:szCs w:val="24"/>
        </w:rPr>
        <w:t>четвертом</w:t>
      </w:r>
      <w:r w:rsidR="00F04510" w:rsidRPr="0009364A">
        <w:rPr>
          <w:b/>
          <w:sz w:val="24"/>
          <w:szCs w:val="24"/>
        </w:rPr>
        <w:t xml:space="preserve"> квартале 2016 года</w:t>
      </w:r>
      <w:r w:rsidR="00F04510" w:rsidRPr="0009364A">
        <w:rPr>
          <w:sz w:val="24"/>
          <w:szCs w:val="24"/>
        </w:rPr>
        <w:t>.</w:t>
      </w:r>
    </w:p>
    <w:p w:rsidR="00F04510" w:rsidRPr="0009364A" w:rsidRDefault="00A723EA" w:rsidP="0009364A">
      <w:pPr>
        <w:tabs>
          <w:tab w:val="left" w:pos="567"/>
        </w:tabs>
        <w:spacing w:line="360" w:lineRule="auto"/>
        <w:ind w:firstLine="284"/>
        <w:jc w:val="both"/>
        <w:rPr>
          <w:b/>
          <w:sz w:val="24"/>
          <w:szCs w:val="24"/>
        </w:rPr>
      </w:pPr>
      <w:r w:rsidRPr="0009364A">
        <w:rPr>
          <w:sz w:val="24"/>
          <w:szCs w:val="24"/>
        </w:rPr>
        <w:t>4</w:t>
      </w:r>
      <w:r w:rsidR="00F04510" w:rsidRPr="0009364A">
        <w:rPr>
          <w:sz w:val="24"/>
          <w:szCs w:val="24"/>
        </w:rPr>
        <w:t xml:space="preserve">. О принятых мерах информировать Комитет Челябинской областной организации Профсоюза работников здравоохранения РФ </w:t>
      </w:r>
      <w:r w:rsidR="00F04510" w:rsidRPr="0009364A">
        <w:rPr>
          <w:b/>
          <w:sz w:val="24"/>
          <w:szCs w:val="24"/>
        </w:rPr>
        <w:t>в срок до 1 декабря 2016 года.</w:t>
      </w:r>
    </w:p>
    <w:p w:rsidR="00427965" w:rsidRPr="0009364A" w:rsidRDefault="00A723EA" w:rsidP="0009364A">
      <w:pPr>
        <w:tabs>
          <w:tab w:val="left" w:pos="567"/>
        </w:tabs>
        <w:spacing w:line="360" w:lineRule="auto"/>
        <w:ind w:firstLine="284"/>
        <w:jc w:val="both"/>
        <w:rPr>
          <w:sz w:val="24"/>
          <w:szCs w:val="24"/>
        </w:rPr>
      </w:pPr>
      <w:r w:rsidRPr="0009364A">
        <w:rPr>
          <w:sz w:val="24"/>
          <w:szCs w:val="24"/>
        </w:rPr>
        <w:t>5</w:t>
      </w:r>
      <w:r w:rsidR="00F04510" w:rsidRPr="0009364A">
        <w:rPr>
          <w:sz w:val="24"/>
          <w:szCs w:val="24"/>
        </w:rPr>
        <w:t xml:space="preserve">. </w:t>
      </w:r>
      <w:proofErr w:type="gramStart"/>
      <w:r w:rsidR="00F04510" w:rsidRPr="0009364A">
        <w:rPr>
          <w:sz w:val="24"/>
          <w:szCs w:val="24"/>
        </w:rPr>
        <w:t>Контроль за</w:t>
      </w:r>
      <w:proofErr w:type="gramEnd"/>
      <w:r w:rsidR="00F04510" w:rsidRPr="0009364A">
        <w:rPr>
          <w:sz w:val="24"/>
          <w:szCs w:val="24"/>
        </w:rPr>
        <w:t xml:space="preserve"> выполнением настоящего Постановления возложить на заведующую отделом правовой и социальной защиты Кинихину В.Н., правового инспектора труда ЦК Профсоюза по Челябинской области Еленину И.К.</w:t>
      </w:r>
      <w:r w:rsidR="00BB4BAA" w:rsidRPr="0009364A">
        <w:rPr>
          <w:sz w:val="24"/>
          <w:szCs w:val="24"/>
        </w:rPr>
        <w:t>, технического инспектора труда ЦК Профсоюза по Челябинской области Рываева Д.П.</w:t>
      </w:r>
    </w:p>
    <w:p w:rsidR="00F04510" w:rsidRPr="0009364A" w:rsidRDefault="00F04510" w:rsidP="0009364A">
      <w:pPr>
        <w:pStyle w:val="1"/>
        <w:spacing w:before="120" w:line="360" w:lineRule="auto"/>
        <w:jc w:val="both"/>
        <w:rPr>
          <w:sz w:val="24"/>
        </w:rPr>
      </w:pPr>
      <w:r w:rsidRPr="0009364A">
        <w:rPr>
          <w:sz w:val="24"/>
        </w:rPr>
        <w:t>Председатель областной организации</w:t>
      </w:r>
    </w:p>
    <w:p w:rsidR="00673038" w:rsidRPr="0009364A" w:rsidRDefault="00F04510" w:rsidP="00A723EA">
      <w:pPr>
        <w:spacing w:line="360" w:lineRule="auto"/>
        <w:jc w:val="both"/>
        <w:rPr>
          <w:sz w:val="24"/>
          <w:szCs w:val="24"/>
        </w:rPr>
      </w:pPr>
      <w:r w:rsidRPr="0009364A">
        <w:rPr>
          <w:sz w:val="24"/>
          <w:szCs w:val="24"/>
        </w:rPr>
        <w:t xml:space="preserve">Профсоюза работников здравоохранения </w:t>
      </w:r>
      <w:r w:rsidRPr="0009364A">
        <w:rPr>
          <w:sz w:val="24"/>
          <w:szCs w:val="24"/>
        </w:rPr>
        <w:tab/>
      </w:r>
      <w:r w:rsidRPr="0009364A">
        <w:rPr>
          <w:sz w:val="24"/>
          <w:szCs w:val="24"/>
        </w:rPr>
        <w:tab/>
      </w:r>
      <w:r w:rsidR="00E05136" w:rsidRPr="0009364A">
        <w:rPr>
          <w:sz w:val="24"/>
          <w:szCs w:val="24"/>
        </w:rPr>
        <w:t xml:space="preserve">          </w:t>
      </w:r>
      <w:r w:rsidRPr="0009364A">
        <w:rPr>
          <w:sz w:val="24"/>
          <w:szCs w:val="24"/>
        </w:rPr>
        <w:t xml:space="preserve"> </w:t>
      </w:r>
      <w:r w:rsidR="008447CB" w:rsidRPr="0009364A">
        <w:rPr>
          <w:sz w:val="24"/>
          <w:szCs w:val="24"/>
        </w:rPr>
        <w:t xml:space="preserve">      </w:t>
      </w:r>
      <w:r w:rsidRPr="0009364A">
        <w:rPr>
          <w:sz w:val="24"/>
          <w:szCs w:val="24"/>
        </w:rPr>
        <w:t xml:space="preserve">                  </w:t>
      </w:r>
      <w:r w:rsidR="0009364A">
        <w:rPr>
          <w:sz w:val="24"/>
          <w:szCs w:val="24"/>
        </w:rPr>
        <w:t xml:space="preserve">   </w:t>
      </w:r>
      <w:r w:rsidRPr="0009364A">
        <w:rPr>
          <w:sz w:val="24"/>
          <w:szCs w:val="24"/>
        </w:rPr>
        <w:t xml:space="preserve"> Н.П. Ковальчук</w:t>
      </w:r>
    </w:p>
    <w:sectPr w:rsidR="00673038" w:rsidRPr="0009364A" w:rsidSect="0009364A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BBE"/>
    <w:multiLevelType w:val="hybridMultilevel"/>
    <w:tmpl w:val="5EBE14B6"/>
    <w:lvl w:ilvl="0" w:tplc="BC1AD7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2586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302CEF"/>
    <w:multiLevelType w:val="multilevel"/>
    <w:tmpl w:val="1CFC6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1562"/>
    <w:rsid w:val="000379B0"/>
    <w:rsid w:val="0005250F"/>
    <w:rsid w:val="0005475F"/>
    <w:rsid w:val="00072356"/>
    <w:rsid w:val="00074E06"/>
    <w:rsid w:val="000875DB"/>
    <w:rsid w:val="00090B20"/>
    <w:rsid w:val="00092343"/>
    <w:rsid w:val="0009364A"/>
    <w:rsid w:val="000A2376"/>
    <w:rsid w:val="000A4151"/>
    <w:rsid w:val="000A4770"/>
    <w:rsid w:val="000B0A50"/>
    <w:rsid w:val="000B3DA0"/>
    <w:rsid w:val="000E6AE6"/>
    <w:rsid w:val="000F2B71"/>
    <w:rsid w:val="00121E03"/>
    <w:rsid w:val="001241AB"/>
    <w:rsid w:val="001610AA"/>
    <w:rsid w:val="00163D42"/>
    <w:rsid w:val="001B07D1"/>
    <w:rsid w:val="001B0A64"/>
    <w:rsid w:val="001B0ACF"/>
    <w:rsid w:val="001B57F4"/>
    <w:rsid w:val="001B76A6"/>
    <w:rsid w:val="001C20E5"/>
    <w:rsid w:val="001E1442"/>
    <w:rsid w:val="001E21D7"/>
    <w:rsid w:val="001E5A5B"/>
    <w:rsid w:val="00203F7A"/>
    <w:rsid w:val="002118CA"/>
    <w:rsid w:val="00214CFE"/>
    <w:rsid w:val="002210E3"/>
    <w:rsid w:val="002360CC"/>
    <w:rsid w:val="00256CD9"/>
    <w:rsid w:val="002663E1"/>
    <w:rsid w:val="00272E1B"/>
    <w:rsid w:val="002759DE"/>
    <w:rsid w:val="002820EA"/>
    <w:rsid w:val="002927EC"/>
    <w:rsid w:val="002A126D"/>
    <w:rsid w:val="002A4CF1"/>
    <w:rsid w:val="002B3781"/>
    <w:rsid w:val="002B4981"/>
    <w:rsid w:val="002B60BB"/>
    <w:rsid w:val="002F4B56"/>
    <w:rsid w:val="003127A9"/>
    <w:rsid w:val="00366E48"/>
    <w:rsid w:val="00382D49"/>
    <w:rsid w:val="003B219C"/>
    <w:rsid w:val="003B2458"/>
    <w:rsid w:val="003B313D"/>
    <w:rsid w:val="003B7DBB"/>
    <w:rsid w:val="003D0B49"/>
    <w:rsid w:val="003D7E41"/>
    <w:rsid w:val="003F579F"/>
    <w:rsid w:val="004024C4"/>
    <w:rsid w:val="00405FA3"/>
    <w:rsid w:val="00427965"/>
    <w:rsid w:val="00430D4D"/>
    <w:rsid w:val="00441053"/>
    <w:rsid w:val="00443BBA"/>
    <w:rsid w:val="00455DF3"/>
    <w:rsid w:val="00455ECE"/>
    <w:rsid w:val="0046436F"/>
    <w:rsid w:val="00487557"/>
    <w:rsid w:val="00491429"/>
    <w:rsid w:val="004A342A"/>
    <w:rsid w:val="004B6D72"/>
    <w:rsid w:val="004D1BE3"/>
    <w:rsid w:val="004E60BE"/>
    <w:rsid w:val="004F0742"/>
    <w:rsid w:val="004F5CD9"/>
    <w:rsid w:val="004F71F7"/>
    <w:rsid w:val="004F7F29"/>
    <w:rsid w:val="005304F0"/>
    <w:rsid w:val="00536C63"/>
    <w:rsid w:val="00542C7C"/>
    <w:rsid w:val="00553EF8"/>
    <w:rsid w:val="00555BB8"/>
    <w:rsid w:val="00575858"/>
    <w:rsid w:val="00582777"/>
    <w:rsid w:val="00590DC7"/>
    <w:rsid w:val="005A23B7"/>
    <w:rsid w:val="005A4810"/>
    <w:rsid w:val="005A6855"/>
    <w:rsid w:val="005B10DD"/>
    <w:rsid w:val="005D37AD"/>
    <w:rsid w:val="005E4918"/>
    <w:rsid w:val="00611046"/>
    <w:rsid w:val="00616540"/>
    <w:rsid w:val="0063092F"/>
    <w:rsid w:val="006421CA"/>
    <w:rsid w:val="006661CD"/>
    <w:rsid w:val="00673038"/>
    <w:rsid w:val="00680CA7"/>
    <w:rsid w:val="00681061"/>
    <w:rsid w:val="00686114"/>
    <w:rsid w:val="006B6788"/>
    <w:rsid w:val="006B70B8"/>
    <w:rsid w:val="006C3FED"/>
    <w:rsid w:val="006D24AB"/>
    <w:rsid w:val="006D70EB"/>
    <w:rsid w:val="006E6EA8"/>
    <w:rsid w:val="006F7AD6"/>
    <w:rsid w:val="00710532"/>
    <w:rsid w:val="00717DAB"/>
    <w:rsid w:val="007243DE"/>
    <w:rsid w:val="00735E06"/>
    <w:rsid w:val="007410B1"/>
    <w:rsid w:val="007456FC"/>
    <w:rsid w:val="00770609"/>
    <w:rsid w:val="007766C0"/>
    <w:rsid w:val="00797E3E"/>
    <w:rsid w:val="007D3BB2"/>
    <w:rsid w:val="007E7D5C"/>
    <w:rsid w:val="00826A78"/>
    <w:rsid w:val="0083022E"/>
    <w:rsid w:val="00831280"/>
    <w:rsid w:val="00833E7B"/>
    <w:rsid w:val="008447CB"/>
    <w:rsid w:val="0086629A"/>
    <w:rsid w:val="008810F6"/>
    <w:rsid w:val="008B16B5"/>
    <w:rsid w:val="008C0734"/>
    <w:rsid w:val="008C2878"/>
    <w:rsid w:val="008C30F2"/>
    <w:rsid w:val="008E48B5"/>
    <w:rsid w:val="008F01AD"/>
    <w:rsid w:val="00907E78"/>
    <w:rsid w:val="00912B9E"/>
    <w:rsid w:val="00923C73"/>
    <w:rsid w:val="009253AB"/>
    <w:rsid w:val="009276C0"/>
    <w:rsid w:val="0094774F"/>
    <w:rsid w:val="00947842"/>
    <w:rsid w:val="009526BD"/>
    <w:rsid w:val="009571D0"/>
    <w:rsid w:val="0097127E"/>
    <w:rsid w:val="00977F71"/>
    <w:rsid w:val="00984B0D"/>
    <w:rsid w:val="009B0DBB"/>
    <w:rsid w:val="009E117F"/>
    <w:rsid w:val="00A018E9"/>
    <w:rsid w:val="00A1764B"/>
    <w:rsid w:val="00A20B54"/>
    <w:rsid w:val="00A26FAF"/>
    <w:rsid w:val="00A452A0"/>
    <w:rsid w:val="00A723EA"/>
    <w:rsid w:val="00A966DE"/>
    <w:rsid w:val="00A96BEC"/>
    <w:rsid w:val="00A972F6"/>
    <w:rsid w:val="00AA065A"/>
    <w:rsid w:val="00AA6CAB"/>
    <w:rsid w:val="00AC5723"/>
    <w:rsid w:val="00AD3947"/>
    <w:rsid w:val="00AF49C4"/>
    <w:rsid w:val="00B01453"/>
    <w:rsid w:val="00B11562"/>
    <w:rsid w:val="00B11BFE"/>
    <w:rsid w:val="00B14BE9"/>
    <w:rsid w:val="00B2520D"/>
    <w:rsid w:val="00B40BEB"/>
    <w:rsid w:val="00B418E7"/>
    <w:rsid w:val="00B572A7"/>
    <w:rsid w:val="00B91BCC"/>
    <w:rsid w:val="00BA01C5"/>
    <w:rsid w:val="00BA617E"/>
    <w:rsid w:val="00BB4BAA"/>
    <w:rsid w:val="00BF6140"/>
    <w:rsid w:val="00C0695F"/>
    <w:rsid w:val="00C211C9"/>
    <w:rsid w:val="00C27483"/>
    <w:rsid w:val="00C3044B"/>
    <w:rsid w:val="00C5197E"/>
    <w:rsid w:val="00C6110D"/>
    <w:rsid w:val="00C639BB"/>
    <w:rsid w:val="00C74CAB"/>
    <w:rsid w:val="00C8114B"/>
    <w:rsid w:val="00CA614F"/>
    <w:rsid w:val="00CB114E"/>
    <w:rsid w:val="00CC2CC3"/>
    <w:rsid w:val="00CF3596"/>
    <w:rsid w:val="00CF71EF"/>
    <w:rsid w:val="00D0534F"/>
    <w:rsid w:val="00D200B5"/>
    <w:rsid w:val="00D21F10"/>
    <w:rsid w:val="00D35759"/>
    <w:rsid w:val="00D43B53"/>
    <w:rsid w:val="00D50DE7"/>
    <w:rsid w:val="00D66B2E"/>
    <w:rsid w:val="00D85125"/>
    <w:rsid w:val="00D92277"/>
    <w:rsid w:val="00D93F37"/>
    <w:rsid w:val="00DA0E94"/>
    <w:rsid w:val="00DB1482"/>
    <w:rsid w:val="00DB7927"/>
    <w:rsid w:val="00DE1AB4"/>
    <w:rsid w:val="00DE2E15"/>
    <w:rsid w:val="00DE2E5F"/>
    <w:rsid w:val="00DF37F1"/>
    <w:rsid w:val="00E05136"/>
    <w:rsid w:val="00E063F4"/>
    <w:rsid w:val="00E33D1F"/>
    <w:rsid w:val="00E574E7"/>
    <w:rsid w:val="00E764DD"/>
    <w:rsid w:val="00E9439D"/>
    <w:rsid w:val="00ED13DE"/>
    <w:rsid w:val="00ED2048"/>
    <w:rsid w:val="00ED2DEE"/>
    <w:rsid w:val="00EE439A"/>
    <w:rsid w:val="00EF745B"/>
    <w:rsid w:val="00F04510"/>
    <w:rsid w:val="00F11825"/>
    <w:rsid w:val="00F138E8"/>
    <w:rsid w:val="00F15A93"/>
    <w:rsid w:val="00F36B57"/>
    <w:rsid w:val="00F43094"/>
    <w:rsid w:val="00F513D7"/>
    <w:rsid w:val="00F60715"/>
    <w:rsid w:val="00F72764"/>
    <w:rsid w:val="00F81014"/>
    <w:rsid w:val="00F8392B"/>
    <w:rsid w:val="00F83FF1"/>
    <w:rsid w:val="00FC0AE8"/>
    <w:rsid w:val="00FE16A7"/>
    <w:rsid w:val="00FF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E5A5B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5A5B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1E5A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E5A5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063F4"/>
    <w:rPr>
      <w:rFonts w:cs="Times New Roman"/>
    </w:rPr>
  </w:style>
  <w:style w:type="table" w:styleId="a5">
    <w:name w:val="Table Grid"/>
    <w:basedOn w:val="a1"/>
    <w:locked/>
    <w:rsid w:val="0064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0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7A45F-FB8C-4445-ACC3-D5D64A59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2016-09-14T06:34:00Z</cp:lastPrinted>
  <dcterms:created xsi:type="dcterms:W3CDTF">2016-09-12T12:29:00Z</dcterms:created>
  <dcterms:modified xsi:type="dcterms:W3CDTF">2016-09-22T03:40:00Z</dcterms:modified>
</cp:coreProperties>
</file>